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45C03" w14:textId="6D6A41F3" w:rsidR="002317DC" w:rsidRPr="002317DC" w:rsidRDefault="00B12E20" w:rsidP="002317DC">
      <w:pPr>
        <w:spacing w:before="100" w:beforeAutospacing="1" w:after="100" w:afterAutospacing="1"/>
        <w:jc w:val="center"/>
        <w:rPr>
          <w:color w:val="2F5496" w:themeColor="accent1" w:themeShade="BF"/>
          <w:sz w:val="36"/>
          <w:szCs w:val="36"/>
        </w:rPr>
      </w:pPr>
      <w:r>
        <w:rPr>
          <w:rFonts w:ascii="Calibri" w:eastAsia="Calibri" w:hAnsi="Calibri" w:cs="Times New Roman"/>
          <w:color w:val="2F5496"/>
          <w:sz w:val="36"/>
          <w:szCs w:val="36"/>
          <w:lang w:val="en-GB"/>
        </w:rPr>
        <w:t xml:space="preserve">Guide to reporting via user interface </w:t>
      </w:r>
      <w:r>
        <w:rPr>
          <w:rFonts w:ascii="Calibri" w:eastAsia="Calibri" w:hAnsi="Calibri" w:cs="Times New Roman"/>
          <w:color w:val="2F5496"/>
          <w:sz w:val="36"/>
          <w:szCs w:val="36"/>
          <w:lang w:val="en-GB"/>
        </w:rPr>
        <w:br/>
        <w:t>(E-tax for businesses (</w:t>
      </w:r>
      <w:r>
        <w:rPr>
          <w:rFonts w:ascii="Calibri" w:eastAsia="Calibri" w:hAnsi="Calibri" w:cs="Times New Roman"/>
          <w:i/>
          <w:iCs/>
          <w:color w:val="2F5496"/>
          <w:sz w:val="36"/>
          <w:szCs w:val="36"/>
          <w:lang w:val="en-GB"/>
        </w:rPr>
        <w:t>TastSelv Erhverv</w:t>
      </w:r>
      <w:r>
        <w:rPr>
          <w:rFonts w:ascii="Calibri" w:eastAsia="Calibri" w:hAnsi="Calibri" w:cs="Times New Roman"/>
          <w:color w:val="2F5496"/>
          <w:sz w:val="36"/>
          <w:szCs w:val="36"/>
          <w:lang w:val="en-GB"/>
        </w:rPr>
        <w:t>))</w:t>
      </w:r>
    </w:p>
    <w:p w14:paraId="4FDA2993" w14:textId="7F5AB7A7" w:rsidR="0026058A" w:rsidRPr="00110AE8" w:rsidRDefault="0026058A" w:rsidP="00A24C61">
      <w:pPr>
        <w:jc w:val="center"/>
        <w:rPr>
          <w:b/>
          <w:bCs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2675195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F0CAE55" w14:textId="1B362A16" w:rsidR="0026058A" w:rsidRDefault="00B12E20">
          <w:pPr>
            <w:pStyle w:val="Overskrift"/>
          </w:pPr>
          <w:r>
            <w:rPr>
              <w:rFonts w:ascii="Calibri Light" w:eastAsia="Calibri Light" w:hAnsi="Calibri Light" w:cs="Times New Roman"/>
              <w:color w:val="2F5496"/>
              <w:lang w:val="en-GB"/>
            </w:rPr>
            <w:t>Contents</w:t>
          </w:r>
        </w:p>
        <w:p w14:paraId="4FEF14AD" w14:textId="42BB44CA" w:rsidR="000B5CEC" w:rsidRDefault="00B12E20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6827537" w:history="1">
            <w:r w:rsidR="000B5CEC" w:rsidRPr="00C76F24">
              <w:rPr>
                <w:rStyle w:val="Hyperlink"/>
                <w:rFonts w:eastAsia="Arial"/>
                <w:noProof/>
                <w:lang w:val="en-GB"/>
              </w:rPr>
              <w:t>1. Purpose of the guide</w:t>
            </w:r>
            <w:r w:rsidR="000B5CEC">
              <w:rPr>
                <w:noProof/>
                <w:webHidden/>
              </w:rPr>
              <w:tab/>
            </w:r>
            <w:r w:rsidR="000B5CEC">
              <w:rPr>
                <w:noProof/>
                <w:webHidden/>
              </w:rPr>
              <w:fldChar w:fldCharType="begin"/>
            </w:r>
            <w:r w:rsidR="000B5CEC">
              <w:rPr>
                <w:noProof/>
                <w:webHidden/>
              </w:rPr>
              <w:instrText xml:space="preserve"> PAGEREF _Toc156827537 \h </w:instrText>
            </w:r>
            <w:r w:rsidR="000B5CEC">
              <w:rPr>
                <w:noProof/>
                <w:webHidden/>
              </w:rPr>
            </w:r>
            <w:r w:rsidR="000B5CEC">
              <w:rPr>
                <w:noProof/>
                <w:webHidden/>
              </w:rPr>
              <w:fldChar w:fldCharType="separate"/>
            </w:r>
            <w:r w:rsidR="000B5CEC">
              <w:rPr>
                <w:noProof/>
                <w:webHidden/>
              </w:rPr>
              <w:t>1</w:t>
            </w:r>
            <w:r w:rsidR="000B5CEC">
              <w:rPr>
                <w:noProof/>
                <w:webHidden/>
              </w:rPr>
              <w:fldChar w:fldCharType="end"/>
            </w:r>
          </w:hyperlink>
        </w:p>
        <w:p w14:paraId="21F921FE" w14:textId="7AE369B0" w:rsidR="000B5CEC" w:rsidRDefault="00E76472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val="en-US"/>
            </w:rPr>
          </w:pPr>
          <w:hyperlink w:anchor="_Toc156827538" w:history="1">
            <w:r w:rsidR="000B5CEC" w:rsidRPr="00C76F24">
              <w:rPr>
                <w:rStyle w:val="Hyperlink"/>
                <w:rFonts w:eastAsia="Arial"/>
                <w:noProof/>
                <w:lang w:val="en-GB"/>
              </w:rPr>
              <w:t>2. Requirements before CESOP-DK can be accessed</w:t>
            </w:r>
            <w:r w:rsidR="000B5CEC">
              <w:rPr>
                <w:noProof/>
                <w:webHidden/>
              </w:rPr>
              <w:tab/>
            </w:r>
            <w:r w:rsidR="000B5CEC">
              <w:rPr>
                <w:noProof/>
                <w:webHidden/>
              </w:rPr>
              <w:fldChar w:fldCharType="begin"/>
            </w:r>
            <w:r w:rsidR="000B5CEC">
              <w:rPr>
                <w:noProof/>
                <w:webHidden/>
              </w:rPr>
              <w:instrText xml:space="preserve"> PAGEREF _Toc156827538 \h </w:instrText>
            </w:r>
            <w:r w:rsidR="000B5CEC">
              <w:rPr>
                <w:noProof/>
                <w:webHidden/>
              </w:rPr>
            </w:r>
            <w:r w:rsidR="000B5CEC">
              <w:rPr>
                <w:noProof/>
                <w:webHidden/>
              </w:rPr>
              <w:fldChar w:fldCharType="separate"/>
            </w:r>
            <w:r w:rsidR="000B5CEC">
              <w:rPr>
                <w:noProof/>
                <w:webHidden/>
              </w:rPr>
              <w:t>2</w:t>
            </w:r>
            <w:r w:rsidR="000B5CEC">
              <w:rPr>
                <w:noProof/>
                <w:webHidden/>
              </w:rPr>
              <w:fldChar w:fldCharType="end"/>
            </w:r>
          </w:hyperlink>
        </w:p>
        <w:p w14:paraId="6D99CB63" w14:textId="0BBA9F9E" w:rsidR="000B5CEC" w:rsidRDefault="00E7647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val="en-US"/>
            </w:rPr>
          </w:pPr>
          <w:hyperlink w:anchor="_Toc156827539" w:history="1">
            <w:r w:rsidR="000B5CEC" w:rsidRPr="00C76F24">
              <w:rPr>
                <w:rStyle w:val="Hyperlink"/>
                <w:rFonts w:eastAsia="Arial"/>
                <w:noProof/>
                <w:lang w:val="en-GB" w:eastAsia="da-DK"/>
              </w:rPr>
              <w:t xml:space="preserve">2.1 For </w:t>
            </w:r>
            <w:r w:rsidR="009A386C">
              <w:rPr>
                <w:rStyle w:val="Hyperlink"/>
                <w:rFonts w:eastAsia="Arial"/>
                <w:noProof/>
                <w:lang w:val="en-GB" w:eastAsia="da-DK"/>
              </w:rPr>
              <w:t>non-Danish</w:t>
            </w:r>
            <w:r w:rsidR="000B5CEC" w:rsidRPr="00C76F24">
              <w:rPr>
                <w:rStyle w:val="Hyperlink"/>
                <w:rFonts w:eastAsia="Arial"/>
                <w:noProof/>
                <w:lang w:val="en-GB" w:eastAsia="da-DK"/>
              </w:rPr>
              <w:t xml:space="preserve"> businesses without a SE number.</w:t>
            </w:r>
            <w:r w:rsidR="000B5CEC">
              <w:rPr>
                <w:noProof/>
                <w:webHidden/>
              </w:rPr>
              <w:tab/>
            </w:r>
            <w:r w:rsidR="000B5CEC">
              <w:rPr>
                <w:noProof/>
                <w:webHidden/>
              </w:rPr>
              <w:fldChar w:fldCharType="begin"/>
            </w:r>
            <w:r w:rsidR="000B5CEC">
              <w:rPr>
                <w:noProof/>
                <w:webHidden/>
              </w:rPr>
              <w:instrText xml:space="preserve"> PAGEREF _Toc156827539 \h </w:instrText>
            </w:r>
            <w:r w:rsidR="000B5CEC">
              <w:rPr>
                <w:noProof/>
                <w:webHidden/>
              </w:rPr>
            </w:r>
            <w:r w:rsidR="000B5CEC">
              <w:rPr>
                <w:noProof/>
                <w:webHidden/>
              </w:rPr>
              <w:fldChar w:fldCharType="separate"/>
            </w:r>
            <w:r w:rsidR="000B5CEC">
              <w:rPr>
                <w:noProof/>
                <w:webHidden/>
              </w:rPr>
              <w:t>2</w:t>
            </w:r>
            <w:r w:rsidR="000B5CEC">
              <w:rPr>
                <w:noProof/>
                <w:webHidden/>
              </w:rPr>
              <w:fldChar w:fldCharType="end"/>
            </w:r>
          </w:hyperlink>
        </w:p>
        <w:p w14:paraId="401C850F" w14:textId="0288978D" w:rsidR="000B5CEC" w:rsidRDefault="00E7647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val="en-US"/>
            </w:rPr>
          </w:pPr>
          <w:hyperlink w:anchor="_Toc156827540" w:history="1">
            <w:r w:rsidR="000B5CEC" w:rsidRPr="00C76F24">
              <w:rPr>
                <w:rStyle w:val="Hyperlink"/>
                <w:rFonts w:eastAsia="Arial"/>
                <w:noProof/>
                <w:lang w:val="en-GB" w:eastAsia="da-DK"/>
              </w:rPr>
              <w:t>2.2 Registration of reporting obligation</w:t>
            </w:r>
            <w:r w:rsidR="000B5CEC">
              <w:rPr>
                <w:noProof/>
                <w:webHidden/>
              </w:rPr>
              <w:tab/>
            </w:r>
            <w:r w:rsidR="000B5CEC">
              <w:rPr>
                <w:noProof/>
                <w:webHidden/>
              </w:rPr>
              <w:fldChar w:fldCharType="begin"/>
            </w:r>
            <w:r w:rsidR="000B5CEC">
              <w:rPr>
                <w:noProof/>
                <w:webHidden/>
              </w:rPr>
              <w:instrText xml:space="preserve"> PAGEREF _Toc156827540 \h </w:instrText>
            </w:r>
            <w:r w:rsidR="000B5CEC">
              <w:rPr>
                <w:noProof/>
                <w:webHidden/>
              </w:rPr>
            </w:r>
            <w:r w:rsidR="000B5CEC">
              <w:rPr>
                <w:noProof/>
                <w:webHidden/>
              </w:rPr>
              <w:fldChar w:fldCharType="separate"/>
            </w:r>
            <w:r w:rsidR="000B5CEC">
              <w:rPr>
                <w:noProof/>
                <w:webHidden/>
              </w:rPr>
              <w:t>2</w:t>
            </w:r>
            <w:r w:rsidR="000B5CEC">
              <w:rPr>
                <w:noProof/>
                <w:webHidden/>
              </w:rPr>
              <w:fldChar w:fldCharType="end"/>
            </w:r>
          </w:hyperlink>
        </w:p>
        <w:p w14:paraId="2129601A" w14:textId="35E368F1" w:rsidR="000B5CEC" w:rsidRDefault="00E7647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val="en-US"/>
            </w:rPr>
          </w:pPr>
          <w:hyperlink w:anchor="_Toc156827541" w:history="1">
            <w:r w:rsidR="000B5CEC" w:rsidRPr="00C76F24">
              <w:rPr>
                <w:rStyle w:val="Hyperlink"/>
                <w:rFonts w:eastAsia="Arial"/>
                <w:noProof/>
                <w:lang w:val="en-GB"/>
              </w:rPr>
              <w:t xml:space="preserve">2.3 Linking of user rights </w:t>
            </w:r>
            <w:r w:rsidR="009A386C">
              <w:rPr>
                <w:rStyle w:val="Hyperlink"/>
                <w:rFonts w:eastAsia="Arial"/>
                <w:noProof/>
                <w:lang w:val="en-GB"/>
              </w:rPr>
              <w:t>in</w:t>
            </w:r>
            <w:r w:rsidR="000B5CEC" w:rsidRPr="00C76F24">
              <w:rPr>
                <w:rStyle w:val="Hyperlink"/>
                <w:rFonts w:eastAsia="Arial"/>
                <w:noProof/>
                <w:lang w:val="en-GB"/>
              </w:rPr>
              <w:t xml:space="preserve"> E-tax for businesses</w:t>
            </w:r>
            <w:r w:rsidR="000B5CEC">
              <w:rPr>
                <w:noProof/>
                <w:webHidden/>
              </w:rPr>
              <w:tab/>
            </w:r>
            <w:r w:rsidR="000B5CEC">
              <w:rPr>
                <w:noProof/>
                <w:webHidden/>
              </w:rPr>
              <w:fldChar w:fldCharType="begin"/>
            </w:r>
            <w:r w:rsidR="000B5CEC">
              <w:rPr>
                <w:noProof/>
                <w:webHidden/>
              </w:rPr>
              <w:instrText xml:space="preserve"> PAGEREF _Toc156827541 \h </w:instrText>
            </w:r>
            <w:r w:rsidR="000B5CEC">
              <w:rPr>
                <w:noProof/>
                <w:webHidden/>
              </w:rPr>
            </w:r>
            <w:r w:rsidR="000B5CEC">
              <w:rPr>
                <w:noProof/>
                <w:webHidden/>
              </w:rPr>
              <w:fldChar w:fldCharType="separate"/>
            </w:r>
            <w:r w:rsidR="000B5CEC">
              <w:rPr>
                <w:noProof/>
                <w:webHidden/>
              </w:rPr>
              <w:t>2</w:t>
            </w:r>
            <w:r w:rsidR="000B5CEC">
              <w:rPr>
                <w:noProof/>
                <w:webHidden/>
              </w:rPr>
              <w:fldChar w:fldCharType="end"/>
            </w:r>
          </w:hyperlink>
        </w:p>
        <w:p w14:paraId="4B587C25" w14:textId="0393F913" w:rsidR="000B5CEC" w:rsidRDefault="00E76472">
          <w:pPr>
            <w:pStyle w:val="Indholdsfortegnelse3"/>
            <w:tabs>
              <w:tab w:val="right" w:leader="dot" w:pos="9628"/>
            </w:tabs>
            <w:rPr>
              <w:rFonts w:eastAsiaTheme="minorEastAsia"/>
              <w:noProof/>
              <w:lang w:val="en-US"/>
            </w:rPr>
          </w:pPr>
          <w:hyperlink w:anchor="_Toc156827542" w:history="1">
            <w:r w:rsidR="000B5CEC" w:rsidRPr="00C76F24">
              <w:rPr>
                <w:rStyle w:val="Hyperlink"/>
                <w:rFonts w:eastAsia="Arial"/>
                <w:noProof/>
                <w:lang w:val="en-GB"/>
              </w:rPr>
              <w:t xml:space="preserve">2.3.1 If you submit </w:t>
            </w:r>
            <w:r w:rsidR="00127793">
              <w:rPr>
                <w:rStyle w:val="Hyperlink"/>
                <w:rFonts w:eastAsia="Arial"/>
                <w:noProof/>
                <w:lang w:val="en-GB"/>
              </w:rPr>
              <w:t>data</w:t>
            </w:r>
            <w:r w:rsidR="000B5CEC" w:rsidRPr="00C76F24">
              <w:rPr>
                <w:rStyle w:val="Hyperlink"/>
                <w:rFonts w:eastAsia="Arial"/>
                <w:noProof/>
                <w:lang w:val="en-GB"/>
              </w:rPr>
              <w:t xml:space="preserve"> on behalf of others</w:t>
            </w:r>
            <w:r w:rsidR="000B5CEC">
              <w:rPr>
                <w:noProof/>
                <w:webHidden/>
              </w:rPr>
              <w:tab/>
            </w:r>
            <w:r w:rsidR="000B5CEC">
              <w:rPr>
                <w:noProof/>
                <w:webHidden/>
              </w:rPr>
              <w:fldChar w:fldCharType="begin"/>
            </w:r>
            <w:r w:rsidR="000B5CEC">
              <w:rPr>
                <w:noProof/>
                <w:webHidden/>
              </w:rPr>
              <w:instrText xml:space="preserve"> PAGEREF _Toc156827542 \h </w:instrText>
            </w:r>
            <w:r w:rsidR="000B5CEC">
              <w:rPr>
                <w:noProof/>
                <w:webHidden/>
              </w:rPr>
            </w:r>
            <w:r w:rsidR="000B5CEC">
              <w:rPr>
                <w:noProof/>
                <w:webHidden/>
              </w:rPr>
              <w:fldChar w:fldCharType="separate"/>
            </w:r>
            <w:r w:rsidR="000B5CEC">
              <w:rPr>
                <w:noProof/>
                <w:webHidden/>
              </w:rPr>
              <w:t>3</w:t>
            </w:r>
            <w:r w:rsidR="000B5CEC">
              <w:rPr>
                <w:noProof/>
                <w:webHidden/>
              </w:rPr>
              <w:fldChar w:fldCharType="end"/>
            </w:r>
          </w:hyperlink>
        </w:p>
        <w:p w14:paraId="1C9F61D9" w14:textId="1702E835" w:rsidR="000B5CEC" w:rsidRDefault="00E76472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val="en-US"/>
            </w:rPr>
          </w:pPr>
          <w:hyperlink w:anchor="_Toc156827543" w:history="1">
            <w:r w:rsidR="000B5CEC" w:rsidRPr="00C76F24">
              <w:rPr>
                <w:rStyle w:val="Hyperlink"/>
                <w:rFonts w:eastAsia="Arial"/>
                <w:noProof/>
                <w:lang w:val="en-GB" w:eastAsia="da-DK"/>
              </w:rPr>
              <w:t>3 Test environment for report</w:t>
            </w:r>
            <w:r w:rsidR="001406C5">
              <w:rPr>
                <w:rStyle w:val="Hyperlink"/>
                <w:rFonts w:eastAsia="Arial"/>
                <w:noProof/>
                <w:lang w:val="en-GB" w:eastAsia="da-DK"/>
              </w:rPr>
              <w:t>ing PSPs</w:t>
            </w:r>
            <w:r w:rsidR="000B5CEC">
              <w:rPr>
                <w:noProof/>
                <w:webHidden/>
              </w:rPr>
              <w:tab/>
            </w:r>
            <w:r w:rsidR="000B5CEC">
              <w:rPr>
                <w:noProof/>
                <w:webHidden/>
              </w:rPr>
              <w:fldChar w:fldCharType="begin"/>
            </w:r>
            <w:r w:rsidR="000B5CEC">
              <w:rPr>
                <w:noProof/>
                <w:webHidden/>
              </w:rPr>
              <w:instrText xml:space="preserve"> PAGEREF _Toc156827543 \h </w:instrText>
            </w:r>
            <w:r w:rsidR="000B5CEC">
              <w:rPr>
                <w:noProof/>
                <w:webHidden/>
              </w:rPr>
            </w:r>
            <w:r w:rsidR="000B5CEC">
              <w:rPr>
                <w:noProof/>
                <w:webHidden/>
              </w:rPr>
              <w:fldChar w:fldCharType="separate"/>
            </w:r>
            <w:r w:rsidR="000B5CEC">
              <w:rPr>
                <w:noProof/>
                <w:webHidden/>
              </w:rPr>
              <w:t>3</w:t>
            </w:r>
            <w:r w:rsidR="000B5CEC">
              <w:rPr>
                <w:noProof/>
                <w:webHidden/>
              </w:rPr>
              <w:fldChar w:fldCharType="end"/>
            </w:r>
          </w:hyperlink>
        </w:p>
        <w:p w14:paraId="29798379" w14:textId="435D2900" w:rsidR="000B5CEC" w:rsidRDefault="00E7647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val="en-US"/>
            </w:rPr>
          </w:pPr>
          <w:hyperlink w:anchor="_Toc156827544" w:history="1">
            <w:r w:rsidR="000B5CEC" w:rsidRPr="00C76F24">
              <w:rPr>
                <w:rStyle w:val="Hyperlink"/>
                <w:rFonts w:eastAsia="Arial"/>
                <w:noProof/>
                <w:lang w:val="en-GB" w:eastAsia="da-DK"/>
              </w:rPr>
              <w:t>3.1 Access to</w:t>
            </w:r>
            <w:r w:rsidR="001406C5">
              <w:rPr>
                <w:rStyle w:val="Hyperlink"/>
                <w:rFonts w:eastAsia="Arial"/>
                <w:noProof/>
                <w:lang w:val="en-GB" w:eastAsia="da-DK"/>
              </w:rPr>
              <w:t xml:space="preserve"> test environment</w:t>
            </w:r>
            <w:r w:rsidR="000B5CEC">
              <w:rPr>
                <w:noProof/>
                <w:webHidden/>
              </w:rPr>
              <w:tab/>
            </w:r>
            <w:r w:rsidR="000B5CEC">
              <w:rPr>
                <w:noProof/>
                <w:webHidden/>
              </w:rPr>
              <w:fldChar w:fldCharType="begin"/>
            </w:r>
            <w:r w:rsidR="000B5CEC">
              <w:rPr>
                <w:noProof/>
                <w:webHidden/>
              </w:rPr>
              <w:instrText xml:space="preserve"> PAGEREF _Toc156827544 \h </w:instrText>
            </w:r>
            <w:r w:rsidR="000B5CEC">
              <w:rPr>
                <w:noProof/>
                <w:webHidden/>
              </w:rPr>
            </w:r>
            <w:r w:rsidR="000B5CEC">
              <w:rPr>
                <w:noProof/>
                <w:webHidden/>
              </w:rPr>
              <w:fldChar w:fldCharType="separate"/>
            </w:r>
            <w:r w:rsidR="000B5CEC">
              <w:rPr>
                <w:noProof/>
                <w:webHidden/>
              </w:rPr>
              <w:t>3</w:t>
            </w:r>
            <w:r w:rsidR="000B5CEC">
              <w:rPr>
                <w:noProof/>
                <w:webHidden/>
              </w:rPr>
              <w:fldChar w:fldCharType="end"/>
            </w:r>
          </w:hyperlink>
        </w:p>
        <w:p w14:paraId="35B570EE" w14:textId="13D6C9D7" w:rsidR="000B5CEC" w:rsidRDefault="00E76472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val="en-US"/>
            </w:rPr>
          </w:pPr>
          <w:hyperlink w:anchor="_Toc156827545" w:history="1">
            <w:r w:rsidR="000B5CEC" w:rsidRPr="00C76F24">
              <w:rPr>
                <w:rStyle w:val="Hyperlink"/>
                <w:rFonts w:eastAsia="Arial"/>
                <w:noProof/>
                <w:lang w:val="en-GB" w:eastAsia="da-DK"/>
              </w:rPr>
              <w:t>4 Production environment</w:t>
            </w:r>
            <w:r w:rsidR="000B5CEC">
              <w:rPr>
                <w:noProof/>
                <w:webHidden/>
              </w:rPr>
              <w:tab/>
            </w:r>
            <w:r w:rsidR="000B5CEC">
              <w:rPr>
                <w:noProof/>
                <w:webHidden/>
              </w:rPr>
              <w:fldChar w:fldCharType="begin"/>
            </w:r>
            <w:r w:rsidR="000B5CEC">
              <w:rPr>
                <w:noProof/>
                <w:webHidden/>
              </w:rPr>
              <w:instrText xml:space="preserve"> PAGEREF _Toc156827545 \h </w:instrText>
            </w:r>
            <w:r w:rsidR="000B5CEC">
              <w:rPr>
                <w:noProof/>
                <w:webHidden/>
              </w:rPr>
            </w:r>
            <w:r w:rsidR="000B5CEC">
              <w:rPr>
                <w:noProof/>
                <w:webHidden/>
              </w:rPr>
              <w:fldChar w:fldCharType="separate"/>
            </w:r>
            <w:r w:rsidR="000B5CEC">
              <w:rPr>
                <w:noProof/>
                <w:webHidden/>
              </w:rPr>
              <w:t>3</w:t>
            </w:r>
            <w:r w:rsidR="000B5CEC">
              <w:rPr>
                <w:noProof/>
                <w:webHidden/>
              </w:rPr>
              <w:fldChar w:fldCharType="end"/>
            </w:r>
          </w:hyperlink>
        </w:p>
        <w:p w14:paraId="0CBA283D" w14:textId="396B213F" w:rsidR="000B5CEC" w:rsidRDefault="00E7647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val="en-US"/>
            </w:rPr>
          </w:pPr>
          <w:hyperlink w:anchor="_Toc156827546" w:history="1">
            <w:r w:rsidR="000B5CEC" w:rsidRPr="00C76F24">
              <w:rPr>
                <w:rStyle w:val="Hyperlink"/>
                <w:rFonts w:eastAsia="Arial"/>
                <w:noProof/>
                <w:lang w:val="en-GB" w:eastAsia="da-DK"/>
              </w:rPr>
              <w:t>4.1 Access to production environment</w:t>
            </w:r>
            <w:r w:rsidR="000B5CEC">
              <w:rPr>
                <w:noProof/>
                <w:webHidden/>
              </w:rPr>
              <w:tab/>
            </w:r>
            <w:r w:rsidR="000B5CEC">
              <w:rPr>
                <w:noProof/>
                <w:webHidden/>
              </w:rPr>
              <w:fldChar w:fldCharType="begin"/>
            </w:r>
            <w:r w:rsidR="000B5CEC">
              <w:rPr>
                <w:noProof/>
                <w:webHidden/>
              </w:rPr>
              <w:instrText xml:space="preserve"> PAGEREF _Toc156827546 \h </w:instrText>
            </w:r>
            <w:r w:rsidR="000B5CEC">
              <w:rPr>
                <w:noProof/>
                <w:webHidden/>
              </w:rPr>
            </w:r>
            <w:r w:rsidR="000B5CEC">
              <w:rPr>
                <w:noProof/>
                <w:webHidden/>
              </w:rPr>
              <w:fldChar w:fldCharType="separate"/>
            </w:r>
            <w:r w:rsidR="000B5CEC">
              <w:rPr>
                <w:noProof/>
                <w:webHidden/>
              </w:rPr>
              <w:t>4</w:t>
            </w:r>
            <w:r w:rsidR="000B5CEC">
              <w:rPr>
                <w:noProof/>
                <w:webHidden/>
              </w:rPr>
              <w:fldChar w:fldCharType="end"/>
            </w:r>
          </w:hyperlink>
        </w:p>
        <w:p w14:paraId="2488FFD2" w14:textId="5CA67477" w:rsidR="0026058A" w:rsidRDefault="00B12E20">
          <w:r>
            <w:rPr>
              <w:b/>
              <w:bCs/>
            </w:rPr>
            <w:fldChar w:fldCharType="end"/>
          </w:r>
        </w:p>
      </w:sdtContent>
    </w:sdt>
    <w:p w14:paraId="00F8A4B2" w14:textId="77777777" w:rsidR="0026058A" w:rsidRDefault="0026058A" w:rsidP="006868F7">
      <w:pPr>
        <w:rPr>
          <w:b/>
          <w:bCs/>
        </w:rPr>
      </w:pPr>
    </w:p>
    <w:p w14:paraId="7FFB659C" w14:textId="77777777" w:rsidR="0026058A" w:rsidRDefault="0026058A" w:rsidP="006868F7">
      <w:pPr>
        <w:rPr>
          <w:b/>
          <w:bCs/>
        </w:rPr>
      </w:pPr>
    </w:p>
    <w:p w14:paraId="50619BA2" w14:textId="77777777" w:rsidR="0026058A" w:rsidRDefault="0026058A" w:rsidP="006868F7">
      <w:pPr>
        <w:rPr>
          <w:b/>
          <w:bCs/>
        </w:rPr>
      </w:pPr>
    </w:p>
    <w:p w14:paraId="5BFFBFE8" w14:textId="6A761DC9" w:rsidR="006868F7" w:rsidRDefault="00B12E20" w:rsidP="006868F7">
      <w:pPr>
        <w:rPr>
          <w:b/>
          <w:bCs/>
        </w:rPr>
      </w:pPr>
      <w:r>
        <w:rPr>
          <w:rFonts w:ascii="Calibri" w:eastAsia="Calibri" w:hAnsi="Calibri" w:cs="Times New Roman"/>
          <w:b/>
          <w:bCs/>
          <w:lang w:val="en-GB"/>
        </w:rPr>
        <w:t>Version history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1699"/>
      </w:tblGrid>
      <w:tr w:rsidR="00BB10F9" w14:paraId="75E38217" w14:textId="77777777" w:rsidTr="006868F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0CBB" w14:textId="77777777" w:rsidR="00110AE8" w:rsidRDefault="00B12E20">
            <w:pPr>
              <w:spacing w:line="240" w:lineRule="auto"/>
              <w:rPr>
                <w:b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Version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5FE4" w14:textId="77777777" w:rsidR="00110AE8" w:rsidRDefault="00B12E20">
            <w:pPr>
              <w:spacing w:line="240" w:lineRule="auto"/>
              <w:rPr>
                <w:b/>
              </w:rPr>
            </w:pPr>
            <w:r>
              <w:rPr>
                <w:rFonts w:ascii="Calibri" w:eastAsia="Calibri" w:hAnsi="Calibri" w:cs="Times New Roman"/>
                <w:b/>
                <w:bCs/>
                <w:lang w:val="en-GB"/>
              </w:rPr>
              <w:t>Release date</w:t>
            </w:r>
          </w:p>
        </w:tc>
      </w:tr>
      <w:tr w:rsidR="00BB10F9" w14:paraId="71C563D4" w14:textId="77777777" w:rsidTr="006868F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9568" w14:textId="30087CE8" w:rsidR="00110AE8" w:rsidRDefault="00B12E20">
            <w:pPr>
              <w:spacing w:line="240" w:lineRule="auto"/>
            </w:pPr>
            <w:r>
              <w:rPr>
                <w:rFonts w:ascii="Calibri" w:eastAsia="Calibri" w:hAnsi="Calibri" w:cs="Times New Roman"/>
                <w:lang w:val="en-GB"/>
              </w:rPr>
              <w:t>1.</w:t>
            </w:r>
            <w:r w:rsidR="0020174F">
              <w:rPr>
                <w:rFonts w:ascii="Calibri" w:eastAsia="Calibri" w:hAnsi="Calibri" w:cs="Times New Roman"/>
                <w:lang w:val="en-GB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83BB" w14:textId="7C9778E1" w:rsidR="00110AE8" w:rsidRDefault="0020174F">
            <w:pPr>
              <w:spacing w:line="240" w:lineRule="auto"/>
            </w:pPr>
            <w:r>
              <w:t>07-02-2024</w:t>
            </w:r>
          </w:p>
        </w:tc>
      </w:tr>
    </w:tbl>
    <w:p w14:paraId="3C93A60A" w14:textId="77777777" w:rsidR="006868F7" w:rsidRDefault="006868F7" w:rsidP="006868F7"/>
    <w:p w14:paraId="06CD55F9" w14:textId="6399A1DF" w:rsidR="007004ED" w:rsidRDefault="00B12E20" w:rsidP="0026058A">
      <w:pPr>
        <w:pStyle w:val="Overskrift1"/>
      </w:pPr>
      <w:bookmarkStart w:id="0" w:name="_Toc156827537"/>
      <w:r>
        <w:rPr>
          <w:rFonts w:eastAsia="Arial"/>
          <w:szCs w:val="30"/>
          <w:lang w:val="en-GB"/>
        </w:rPr>
        <w:t>1. Purpose of the guide</w:t>
      </w:r>
      <w:bookmarkEnd w:id="0"/>
    </w:p>
    <w:p w14:paraId="188040F4" w14:textId="11C313E3" w:rsidR="00F84629" w:rsidRPr="000B5CEC" w:rsidRDefault="00B12E20" w:rsidP="00F84629">
      <w:pPr>
        <w:rPr>
          <w:lang w:val="en-US"/>
        </w:rPr>
      </w:pPr>
      <w:r>
        <w:rPr>
          <w:rFonts w:ascii="Calibri" w:eastAsia="Calibri" w:hAnsi="Calibri" w:cs="Times New Roman"/>
          <w:lang w:val="en-GB"/>
        </w:rPr>
        <w:t>This guide is aimed at financial businesses facilita</w:t>
      </w:r>
      <w:r w:rsidR="009A386C">
        <w:rPr>
          <w:rFonts w:ascii="Calibri" w:eastAsia="Calibri" w:hAnsi="Calibri" w:cs="Times New Roman"/>
          <w:lang w:val="en-GB"/>
        </w:rPr>
        <w:t>ting</w:t>
      </w:r>
      <w:r>
        <w:rPr>
          <w:rFonts w:ascii="Calibri" w:eastAsia="Calibri" w:hAnsi="Calibri" w:cs="Times New Roman"/>
          <w:lang w:val="en-GB"/>
        </w:rPr>
        <w:t xml:space="preserve"> cross-border payments. These organisations are called Payment Service Providers (PSPs)</w:t>
      </w:r>
      <w:r>
        <w:rPr>
          <w:rStyle w:val="Fodnotehenvisning"/>
        </w:rPr>
        <w:footnoteReference w:id="1"/>
      </w:r>
      <w:r>
        <w:rPr>
          <w:rFonts w:ascii="Calibri" w:eastAsia="Calibri" w:hAnsi="Calibri" w:cs="Times New Roman"/>
          <w:lang w:val="en-GB"/>
        </w:rPr>
        <w:t>. PSPs must report their cross-border payments in XML format to the Danish Tax Agency (</w:t>
      </w:r>
      <w:r>
        <w:rPr>
          <w:rFonts w:ascii="Calibri" w:eastAsia="Calibri" w:hAnsi="Calibri" w:cs="Times New Roman"/>
          <w:i/>
          <w:iCs/>
          <w:lang w:val="en-GB"/>
        </w:rPr>
        <w:t>Skattestyrelsen</w:t>
      </w:r>
      <w:r>
        <w:rPr>
          <w:rFonts w:ascii="Calibri" w:eastAsia="Calibri" w:hAnsi="Calibri" w:cs="Times New Roman"/>
          <w:lang w:val="en-GB"/>
        </w:rPr>
        <w:t xml:space="preserve">), which forwards the </w:t>
      </w:r>
      <w:r w:rsidR="00127793">
        <w:rPr>
          <w:rFonts w:ascii="Calibri" w:eastAsia="Calibri" w:hAnsi="Calibri" w:cs="Times New Roman"/>
          <w:lang w:val="en-GB"/>
        </w:rPr>
        <w:t xml:space="preserve">data </w:t>
      </w:r>
      <w:r>
        <w:rPr>
          <w:rFonts w:ascii="Calibri" w:eastAsia="Calibri" w:hAnsi="Calibri" w:cs="Times New Roman"/>
          <w:lang w:val="en-GB"/>
        </w:rPr>
        <w:t>to a central EU database, CESOP-EU</w:t>
      </w:r>
      <w:r>
        <w:rPr>
          <w:rStyle w:val="Fodnotehenvisning"/>
        </w:rPr>
        <w:footnoteReference w:id="2"/>
      </w:r>
      <w:r>
        <w:rPr>
          <w:rFonts w:ascii="Calibri" w:eastAsia="Calibri" w:hAnsi="Calibri" w:cs="Times New Roman"/>
          <w:lang w:val="en-GB"/>
        </w:rPr>
        <w:t>.</w:t>
      </w:r>
    </w:p>
    <w:p w14:paraId="23967C10" w14:textId="463FF19C" w:rsidR="0026058A" w:rsidRPr="000B5CEC" w:rsidRDefault="00B12E20" w:rsidP="0026058A">
      <w:pPr>
        <w:rPr>
          <w:lang w:val="en-US"/>
        </w:rPr>
      </w:pPr>
      <w:r>
        <w:rPr>
          <w:rFonts w:ascii="Calibri" w:eastAsia="Calibri" w:hAnsi="Calibri" w:cs="Times New Roman"/>
          <w:lang w:val="en-GB"/>
        </w:rPr>
        <w:t>The purpose of this guide is to describe how to use the CESOP-DK UI solution. It is a technical guide on how to access the solution, and it doesn</w:t>
      </w:r>
      <w:r w:rsidR="009A386C">
        <w:rPr>
          <w:rFonts w:ascii="Calibri" w:eastAsia="Calibri" w:hAnsi="Calibri" w:cs="Times New Roman"/>
          <w:lang w:val="en-GB"/>
        </w:rPr>
        <w:t>’</w:t>
      </w:r>
      <w:r>
        <w:rPr>
          <w:rFonts w:ascii="Calibri" w:eastAsia="Calibri" w:hAnsi="Calibri" w:cs="Times New Roman"/>
          <w:lang w:val="en-GB"/>
        </w:rPr>
        <w:t>t deal with the reported data or their format. For guidance on these areas, reference is made to the general reporting guide.</w:t>
      </w:r>
    </w:p>
    <w:p w14:paraId="375F3F8E" w14:textId="77777777" w:rsidR="00052DB6" w:rsidRPr="000B5CEC" w:rsidRDefault="00052DB6" w:rsidP="0026058A">
      <w:pPr>
        <w:rPr>
          <w:lang w:val="en-US"/>
        </w:rPr>
      </w:pPr>
    </w:p>
    <w:p w14:paraId="3F1F5579" w14:textId="312C1033" w:rsidR="0026058A" w:rsidRPr="000B5CEC" w:rsidRDefault="00B12E20" w:rsidP="00BE71B5">
      <w:pPr>
        <w:pStyle w:val="Overskrift1"/>
        <w:rPr>
          <w:lang w:val="en-US"/>
        </w:rPr>
      </w:pPr>
      <w:bookmarkStart w:id="1" w:name="_Toc156827538"/>
      <w:r>
        <w:rPr>
          <w:rFonts w:eastAsia="Arial"/>
          <w:szCs w:val="30"/>
          <w:lang w:val="en-GB"/>
        </w:rPr>
        <w:lastRenderedPageBreak/>
        <w:t>2. Requirements before CESOP-DK can be accessed</w:t>
      </w:r>
      <w:bookmarkEnd w:id="1"/>
    </w:p>
    <w:p w14:paraId="34A51673" w14:textId="7B2D6B33" w:rsidR="002C6E22" w:rsidRPr="000B5CEC" w:rsidRDefault="00B12E20" w:rsidP="00BE71B5">
      <w:pPr>
        <w:rPr>
          <w:lang w:val="en-US" w:eastAsia="da-DK"/>
        </w:rPr>
      </w:pPr>
      <w:r>
        <w:rPr>
          <w:rFonts w:ascii="Calibri" w:eastAsia="Calibri" w:hAnsi="Calibri" w:cs="Times New Roman"/>
          <w:lang w:val="en-GB" w:eastAsia="da-DK"/>
        </w:rPr>
        <w:t xml:space="preserve">Reporting to CESOP-DK is done in </w:t>
      </w:r>
      <w:hyperlink r:id="rId8" w:history="1">
        <w:r>
          <w:rPr>
            <w:rFonts w:ascii="Calibri" w:eastAsia="Calibri" w:hAnsi="Calibri" w:cs="Times New Roman"/>
            <w:color w:val="0563C1"/>
            <w:u w:val="single"/>
            <w:lang w:val="en-GB" w:eastAsia="da-DK"/>
          </w:rPr>
          <w:t>E-tax for businesses</w:t>
        </w:r>
      </w:hyperlink>
      <w:r>
        <w:rPr>
          <w:rFonts w:ascii="Calibri" w:eastAsia="Calibri" w:hAnsi="Calibri" w:cs="Times New Roman"/>
          <w:lang w:val="en-GB" w:eastAsia="da-DK"/>
        </w:rPr>
        <w:t xml:space="preserve">. </w:t>
      </w:r>
    </w:p>
    <w:p w14:paraId="7E491A0E" w14:textId="29C12E10" w:rsidR="005A3DF1" w:rsidRPr="000B5CEC" w:rsidRDefault="00B12E20" w:rsidP="00BE71B5">
      <w:pPr>
        <w:rPr>
          <w:lang w:val="en-US" w:eastAsia="da-DK"/>
        </w:rPr>
      </w:pPr>
      <w:r>
        <w:rPr>
          <w:rFonts w:ascii="Calibri" w:eastAsia="Calibri" w:hAnsi="Calibri" w:cs="Times New Roman"/>
          <w:lang w:val="en-GB" w:eastAsia="da-DK"/>
        </w:rPr>
        <w:t>The business must therefore be able to log on at E-tax for businesses. This is possible for all Danish businesses with an SE number.</w:t>
      </w:r>
    </w:p>
    <w:p w14:paraId="3426587E" w14:textId="3E1DA71A" w:rsidR="00DC4A74" w:rsidRPr="000B5CEC" w:rsidRDefault="00DC4A74" w:rsidP="00BE71B5">
      <w:pPr>
        <w:rPr>
          <w:lang w:val="en-US" w:eastAsia="da-DK"/>
        </w:rPr>
      </w:pPr>
    </w:p>
    <w:p w14:paraId="12A0554F" w14:textId="18767858" w:rsidR="00DC4A74" w:rsidRPr="000B5CEC" w:rsidRDefault="00B12E20" w:rsidP="00DC4A74">
      <w:pPr>
        <w:pStyle w:val="Overskrift2"/>
        <w:rPr>
          <w:lang w:val="en-US" w:eastAsia="da-DK"/>
        </w:rPr>
      </w:pPr>
      <w:bookmarkStart w:id="2" w:name="_Toc156827539"/>
      <w:r>
        <w:rPr>
          <w:rFonts w:eastAsia="Arial"/>
          <w:szCs w:val="22"/>
          <w:lang w:val="en-GB" w:eastAsia="da-DK"/>
        </w:rPr>
        <w:t xml:space="preserve">2.1 For </w:t>
      </w:r>
      <w:r w:rsidR="006F540E">
        <w:rPr>
          <w:rFonts w:eastAsia="Arial"/>
          <w:szCs w:val="22"/>
          <w:lang w:val="en-GB" w:eastAsia="da-DK"/>
        </w:rPr>
        <w:t>non-Danish</w:t>
      </w:r>
      <w:r>
        <w:rPr>
          <w:rFonts w:eastAsia="Arial"/>
          <w:szCs w:val="22"/>
          <w:lang w:val="en-GB" w:eastAsia="da-DK"/>
        </w:rPr>
        <w:t xml:space="preserve"> businesses without a SE number</w:t>
      </w:r>
      <w:bookmarkEnd w:id="2"/>
    </w:p>
    <w:p w14:paraId="54E61FBA" w14:textId="757828AF" w:rsidR="0042324E" w:rsidRPr="000B5CEC" w:rsidRDefault="00B12E20" w:rsidP="0042324E">
      <w:pPr>
        <w:rPr>
          <w:lang w:val="en-US" w:eastAsia="da-DK"/>
        </w:rPr>
      </w:pPr>
      <w:r>
        <w:rPr>
          <w:rFonts w:ascii="Calibri" w:eastAsia="Calibri" w:hAnsi="Calibri" w:cs="Times New Roman"/>
          <w:lang w:val="en-GB" w:eastAsia="da-DK"/>
        </w:rPr>
        <w:t xml:space="preserve">Before CESOP-DK can be accessed, the business must have an administrative SE number. </w:t>
      </w:r>
    </w:p>
    <w:p w14:paraId="17766194" w14:textId="03DEA8FC" w:rsidR="0042324E" w:rsidRPr="000B5CEC" w:rsidRDefault="009A386C" w:rsidP="0042324E">
      <w:pPr>
        <w:rPr>
          <w:lang w:val="en-US" w:eastAsia="da-DK"/>
        </w:rPr>
      </w:pPr>
      <w:r>
        <w:rPr>
          <w:rFonts w:ascii="Calibri" w:eastAsia="Calibri" w:hAnsi="Calibri" w:cs="Times New Roman"/>
          <w:lang w:val="en-GB" w:eastAsia="da-DK"/>
        </w:rPr>
        <w:t>You find g</w:t>
      </w:r>
      <w:r w:rsidR="00B12E20">
        <w:rPr>
          <w:rFonts w:ascii="Calibri" w:eastAsia="Calibri" w:hAnsi="Calibri" w:cs="Times New Roman"/>
          <w:lang w:val="en-GB" w:eastAsia="da-DK"/>
        </w:rPr>
        <w:t xml:space="preserve">uidance on how to register for an administrative SE number at our English page on CESOP at </w:t>
      </w:r>
      <w:hyperlink r:id="rId9" w:history="1">
        <w:r w:rsidR="00B12E20">
          <w:rPr>
            <w:rFonts w:ascii="Calibri" w:eastAsia="Calibri" w:hAnsi="Calibri" w:cs="Times New Roman"/>
            <w:color w:val="0563C1"/>
            <w:u w:val="single"/>
            <w:lang w:val="en-GB" w:eastAsia="da-DK"/>
          </w:rPr>
          <w:t>skat.dk/cesop-en</w:t>
        </w:r>
      </w:hyperlink>
      <w:r w:rsidR="00B12E20">
        <w:rPr>
          <w:rFonts w:ascii="Calibri" w:eastAsia="Calibri" w:hAnsi="Calibri" w:cs="Times New Roman"/>
          <w:lang w:val="en-GB" w:eastAsia="da-DK"/>
        </w:rPr>
        <w:t xml:space="preserve"> </w:t>
      </w:r>
      <w:r>
        <w:rPr>
          <w:rFonts w:ascii="Calibri" w:eastAsia="Calibri" w:hAnsi="Calibri" w:cs="Times New Roman"/>
          <w:lang w:val="en-GB" w:eastAsia="da-DK"/>
        </w:rPr>
        <w:t>under</w:t>
      </w:r>
      <w:r w:rsidR="00B12E20">
        <w:rPr>
          <w:rFonts w:ascii="Calibri" w:eastAsia="Calibri" w:hAnsi="Calibri" w:cs="Times New Roman"/>
          <w:lang w:val="en-GB" w:eastAsia="da-DK"/>
        </w:rPr>
        <w:t xml:space="preserve"> </w:t>
      </w:r>
      <w:r w:rsidR="00B12E20">
        <w:rPr>
          <w:rFonts w:ascii="Calibri" w:eastAsia="Calibri" w:hAnsi="Calibri" w:cs="Times New Roman"/>
          <w:b/>
          <w:bCs/>
          <w:lang w:val="en-GB" w:eastAsia="da-DK"/>
        </w:rPr>
        <w:t xml:space="preserve">Good to know about reporting of payment </w:t>
      </w:r>
      <w:r w:rsidR="00127793">
        <w:rPr>
          <w:rFonts w:ascii="Calibri" w:eastAsia="Calibri" w:hAnsi="Calibri" w:cs="Times New Roman"/>
          <w:b/>
          <w:bCs/>
          <w:lang w:val="en-GB" w:eastAsia="da-DK"/>
        </w:rPr>
        <w:t>data</w:t>
      </w:r>
      <w:r w:rsidR="00B12E20">
        <w:rPr>
          <w:rFonts w:ascii="Calibri" w:eastAsia="Calibri" w:hAnsi="Calibri" w:cs="Times New Roman"/>
          <w:b/>
          <w:bCs/>
          <w:lang w:val="en-GB" w:eastAsia="da-DK"/>
        </w:rPr>
        <w:t>.</w:t>
      </w:r>
      <w:r w:rsidR="00B12E20">
        <w:rPr>
          <w:rFonts w:ascii="Calibri" w:eastAsia="Calibri" w:hAnsi="Calibri" w:cs="Times New Roman"/>
          <w:lang w:val="en-GB" w:eastAsia="da-DK"/>
        </w:rPr>
        <w:t xml:space="preserve"> </w:t>
      </w:r>
    </w:p>
    <w:p w14:paraId="19AF2D9D" w14:textId="7075B05B" w:rsidR="00CE2CC8" w:rsidRPr="000B5CEC" w:rsidRDefault="00CE2CC8" w:rsidP="0042324E">
      <w:pPr>
        <w:rPr>
          <w:lang w:val="en-US" w:eastAsia="da-DK"/>
        </w:rPr>
      </w:pPr>
    </w:p>
    <w:p w14:paraId="6DFB8878" w14:textId="611B7914" w:rsidR="00CE2CC8" w:rsidRPr="000B5CEC" w:rsidRDefault="00B12E20" w:rsidP="00CE2CC8">
      <w:pPr>
        <w:pStyle w:val="Overskrift2"/>
        <w:rPr>
          <w:lang w:val="en-US" w:eastAsia="da-DK"/>
        </w:rPr>
      </w:pPr>
      <w:bookmarkStart w:id="3" w:name="_Toc156827540"/>
      <w:r>
        <w:rPr>
          <w:rFonts w:eastAsia="Arial"/>
          <w:szCs w:val="22"/>
          <w:lang w:val="en-GB" w:eastAsia="da-DK"/>
        </w:rPr>
        <w:t>2.2 Registration of reporting obligation</w:t>
      </w:r>
      <w:bookmarkEnd w:id="3"/>
    </w:p>
    <w:p w14:paraId="1A37393B" w14:textId="77777777" w:rsidR="00691328" w:rsidRPr="000B5CEC" w:rsidRDefault="00B12E20" w:rsidP="00691328">
      <w:pPr>
        <w:rPr>
          <w:lang w:val="en-US"/>
        </w:rPr>
      </w:pPr>
      <w:bookmarkStart w:id="4" w:name="_Hlk149735947"/>
      <w:r>
        <w:rPr>
          <w:rFonts w:ascii="Calibri" w:eastAsia="Calibri" w:hAnsi="Calibri" w:cs="Times New Roman"/>
          <w:lang w:val="en-GB"/>
        </w:rPr>
        <w:t>The PSP that is subject to a reporting obligation must register the reporting obligation with CESOP-DK.</w:t>
      </w:r>
    </w:p>
    <w:p w14:paraId="6085E4A3" w14:textId="31F8ABF7" w:rsidR="00350C1F" w:rsidRPr="000B5CEC" w:rsidRDefault="00B12E20" w:rsidP="00350C1F">
      <w:pPr>
        <w:rPr>
          <w:lang w:val="en-US" w:eastAsia="da-DK"/>
        </w:rPr>
      </w:pPr>
      <w:r>
        <w:rPr>
          <w:rFonts w:ascii="Calibri" w:eastAsia="Calibri" w:hAnsi="Calibri" w:cs="Times New Roman"/>
          <w:lang w:val="en-GB" w:eastAsia="da-DK"/>
        </w:rPr>
        <w:t>The registration is done via a digital form at virk.dk. The form requires login with MitID Erhverv for businesses or with MitID for private use. Representatives can also register the business.</w:t>
      </w:r>
    </w:p>
    <w:p w14:paraId="432C84FE" w14:textId="59CA37BE" w:rsidR="00350C1F" w:rsidRPr="000B5CEC" w:rsidRDefault="00B12E20" w:rsidP="00350C1F">
      <w:pPr>
        <w:rPr>
          <w:lang w:val="en-US"/>
        </w:rPr>
      </w:pPr>
      <w:r>
        <w:rPr>
          <w:rFonts w:ascii="Calibri" w:eastAsia="Calibri" w:hAnsi="Calibri" w:cs="Times New Roman"/>
          <w:lang w:val="en-GB"/>
        </w:rPr>
        <w:t xml:space="preserve">You can access and fill in the form here: </w:t>
      </w:r>
      <w:hyperlink r:id="rId10" w:tgtFrame="_blank" w:history="1">
        <w:r>
          <w:rPr>
            <w:rFonts w:ascii="Calibri" w:eastAsia="Calibri" w:hAnsi="Calibri" w:cs="Times New Roman"/>
            <w:color w:val="0563C1"/>
            <w:u w:val="single"/>
            <w:lang w:val="en-GB"/>
          </w:rPr>
          <w:t>Blanket 31,053 Registrering - indberetningspligt for visse grænseoverskridende betalingsoplysninger (Form 31.053 Registration – reporting obligation for certain cross-border payment information)</w:t>
        </w:r>
      </w:hyperlink>
      <w:r>
        <w:rPr>
          <w:rFonts w:ascii="Calibri" w:eastAsia="Calibri" w:hAnsi="Calibri" w:cs="Times New Roman"/>
          <w:color w:val="0563C1"/>
          <w:u w:val="single"/>
          <w:lang w:val="en-GB"/>
        </w:rPr>
        <w:t xml:space="preserve"> (virk.dk)</w:t>
      </w:r>
    </w:p>
    <w:p w14:paraId="1DF6E442" w14:textId="3DC94D7D" w:rsidR="00350C1F" w:rsidRPr="000B5CEC" w:rsidRDefault="00B12E20" w:rsidP="00350C1F">
      <w:pPr>
        <w:rPr>
          <w:lang w:val="en-US"/>
        </w:rPr>
      </w:pPr>
      <w:r>
        <w:rPr>
          <w:rFonts w:ascii="Calibri" w:eastAsia="Calibri" w:hAnsi="Calibri" w:cs="Times New Roman"/>
          <w:lang w:val="en-GB"/>
        </w:rPr>
        <w:t xml:space="preserve">Once the Tax Agency has processed and approved the request for registration, a new registration certificate is generated. You can find the registration certificate in </w:t>
      </w:r>
      <w:hyperlink r:id="rId11" w:history="1">
        <w:r>
          <w:rPr>
            <w:rFonts w:ascii="Calibri" w:eastAsia="Calibri" w:hAnsi="Calibri" w:cs="Times New Roman"/>
            <w:color w:val="0563C1"/>
            <w:u w:val="single"/>
            <w:lang w:val="en-GB"/>
          </w:rPr>
          <w:t>E-tax for businesses</w:t>
        </w:r>
      </w:hyperlink>
      <w:r>
        <w:rPr>
          <w:rFonts w:ascii="Calibri" w:eastAsia="Calibri" w:hAnsi="Calibri" w:cs="Times New Roman"/>
          <w:lang w:val="en-GB"/>
        </w:rPr>
        <w:t xml:space="preserve"> under the menu item </w:t>
      </w:r>
      <w:r>
        <w:rPr>
          <w:rFonts w:ascii="Calibri" w:eastAsia="Calibri" w:hAnsi="Calibri" w:cs="Times New Roman"/>
          <w:b/>
          <w:bCs/>
          <w:i/>
          <w:iCs/>
          <w:lang w:val="en-GB"/>
        </w:rPr>
        <w:t>Profil- og kontaktoplysninger</w:t>
      </w:r>
      <w:r>
        <w:rPr>
          <w:rFonts w:ascii="Calibri" w:eastAsia="Calibri" w:hAnsi="Calibri" w:cs="Times New Roman"/>
          <w:b/>
          <w:bCs/>
          <w:lang w:val="en-GB"/>
        </w:rPr>
        <w:t xml:space="preserve"> (Profile and contact information)</w:t>
      </w:r>
      <w:r>
        <w:rPr>
          <w:rFonts w:ascii="Calibri" w:eastAsia="Calibri" w:hAnsi="Calibri" w:cs="Times New Roman"/>
          <w:lang w:val="en-GB"/>
        </w:rPr>
        <w:t xml:space="preserve">. </w:t>
      </w:r>
    </w:p>
    <w:p w14:paraId="239F859B" w14:textId="1E3AEE1A" w:rsidR="00350C1F" w:rsidRPr="000B5CEC" w:rsidRDefault="00B12E20" w:rsidP="00350C1F">
      <w:pPr>
        <w:rPr>
          <w:lang w:val="en-US"/>
        </w:rPr>
      </w:pPr>
      <w:r>
        <w:rPr>
          <w:rFonts w:ascii="Calibri" w:eastAsia="Calibri" w:hAnsi="Calibri" w:cs="Times New Roman"/>
          <w:lang w:val="en-GB"/>
        </w:rPr>
        <w:t>The reporting obligation is then registered on the business’s SE number, and you can begin your reporting.</w:t>
      </w:r>
    </w:p>
    <w:p w14:paraId="2941F73B" w14:textId="7884253B" w:rsidR="00CE2CC8" w:rsidRPr="000B5CEC" w:rsidRDefault="00B12E20" w:rsidP="00CE2CC8">
      <w:pPr>
        <w:rPr>
          <w:lang w:val="en-US"/>
        </w:rPr>
      </w:pPr>
      <w:r>
        <w:rPr>
          <w:rFonts w:ascii="Calibri" w:eastAsia="Calibri" w:hAnsi="Calibri" w:cs="Times New Roman"/>
          <w:lang w:val="en-GB"/>
        </w:rPr>
        <w:t xml:space="preserve">Once the Tax Agency has processed and approved the request for registration, a new registration certificate is generated. Find your registration certificate in E-tax for businesses under </w:t>
      </w:r>
      <w:r>
        <w:rPr>
          <w:rFonts w:ascii="Calibri" w:eastAsia="Calibri" w:hAnsi="Calibri" w:cs="Times New Roman"/>
          <w:i/>
          <w:iCs/>
          <w:lang w:val="en-GB"/>
        </w:rPr>
        <w:t>Profil</w:t>
      </w:r>
      <w:r>
        <w:rPr>
          <w:rFonts w:ascii="Calibri" w:eastAsia="Calibri" w:hAnsi="Calibri" w:cs="Times New Roman"/>
          <w:lang w:val="en-GB"/>
        </w:rPr>
        <w:t xml:space="preserve"> (Profile). To access E-tax for businesses, go to </w:t>
      </w:r>
      <w:hyperlink r:id="rId12" w:tgtFrame="_blank" w:history="1">
        <w:r>
          <w:rPr>
            <w:rFonts w:ascii="Calibri" w:eastAsia="Calibri" w:hAnsi="Calibri" w:cs="Times New Roman"/>
            <w:color w:val="0563C1"/>
            <w:u w:val="single"/>
            <w:lang w:val="en-GB"/>
          </w:rPr>
          <w:t>skat.dk/en-us</w:t>
        </w:r>
      </w:hyperlink>
      <w:r>
        <w:rPr>
          <w:rFonts w:ascii="Calibri" w:eastAsia="Calibri" w:hAnsi="Calibri" w:cs="Times New Roman"/>
          <w:lang w:val="en-GB"/>
        </w:rPr>
        <w:t xml:space="preserve"> and log on as a business.</w:t>
      </w:r>
    </w:p>
    <w:p w14:paraId="691DE49D" w14:textId="78EE1418" w:rsidR="00D113B1" w:rsidRPr="000B5CEC" w:rsidRDefault="00B12E20" w:rsidP="00CE2CC8">
      <w:pPr>
        <w:rPr>
          <w:lang w:val="en-US"/>
        </w:rPr>
      </w:pPr>
      <w:r>
        <w:rPr>
          <w:rFonts w:ascii="Calibri" w:eastAsia="Calibri" w:hAnsi="Calibri" w:cs="Times New Roman"/>
          <w:lang w:val="en-GB"/>
        </w:rPr>
        <w:t>The reporting obligation is then registered on the business’s SE number, and you can begin your reporting.</w:t>
      </w:r>
    </w:p>
    <w:bookmarkEnd w:id="4"/>
    <w:p w14:paraId="45F5182A" w14:textId="66ACDA9F" w:rsidR="00A74ABE" w:rsidRPr="000B5CEC" w:rsidRDefault="00A74ABE" w:rsidP="00CE2CC8">
      <w:pPr>
        <w:rPr>
          <w:lang w:val="en-US"/>
        </w:rPr>
      </w:pPr>
    </w:p>
    <w:p w14:paraId="104BFE06" w14:textId="50FC9647" w:rsidR="00A74ABE" w:rsidRPr="000B5CEC" w:rsidRDefault="00B12E20" w:rsidP="00A74ABE">
      <w:pPr>
        <w:pStyle w:val="Overskrift2"/>
        <w:rPr>
          <w:lang w:val="en-US"/>
        </w:rPr>
      </w:pPr>
      <w:bookmarkStart w:id="5" w:name="_Toc156827541"/>
      <w:r>
        <w:rPr>
          <w:rFonts w:eastAsia="Arial"/>
          <w:szCs w:val="22"/>
          <w:lang w:val="en-GB"/>
        </w:rPr>
        <w:t xml:space="preserve">2.3 Linking of user rights </w:t>
      </w:r>
      <w:r w:rsidR="009A386C">
        <w:rPr>
          <w:rFonts w:eastAsia="Arial"/>
          <w:szCs w:val="22"/>
          <w:lang w:val="en-GB"/>
        </w:rPr>
        <w:t>in</w:t>
      </w:r>
      <w:r>
        <w:rPr>
          <w:rFonts w:eastAsia="Arial"/>
          <w:szCs w:val="22"/>
          <w:lang w:val="en-GB"/>
        </w:rPr>
        <w:t xml:space="preserve"> E-tax for businesses</w:t>
      </w:r>
      <w:bookmarkEnd w:id="5"/>
    </w:p>
    <w:p w14:paraId="3B90D949" w14:textId="0DDC3F20" w:rsidR="0060173B" w:rsidRPr="000B5CEC" w:rsidRDefault="00B12E20" w:rsidP="00A74ABE">
      <w:pPr>
        <w:rPr>
          <w:lang w:val="en-US"/>
        </w:rPr>
      </w:pPr>
      <w:r>
        <w:rPr>
          <w:rFonts w:ascii="Calibri" w:eastAsia="Calibri" w:hAnsi="Calibri" w:cs="Times New Roman"/>
          <w:lang w:val="en-GB"/>
        </w:rPr>
        <w:t xml:space="preserve">If you log on at </w:t>
      </w:r>
      <w:hyperlink r:id="rId13" w:history="1">
        <w:r>
          <w:rPr>
            <w:rFonts w:ascii="Calibri" w:eastAsia="Calibri" w:hAnsi="Calibri" w:cs="Times New Roman"/>
            <w:color w:val="0563C1"/>
            <w:u w:val="single"/>
            <w:lang w:val="en-GB"/>
          </w:rPr>
          <w:t>E-tax for businesses</w:t>
        </w:r>
      </w:hyperlink>
      <w:r>
        <w:rPr>
          <w:rFonts w:ascii="Calibri" w:eastAsia="Calibri" w:hAnsi="Calibri" w:cs="Times New Roman"/>
          <w:lang w:val="en-GB"/>
        </w:rPr>
        <w:t xml:space="preserve"> with MitID, you must ensure that the user who logs on has the reporting obligation linked to the user’s MitID. </w:t>
      </w:r>
      <w:bookmarkStart w:id="6" w:name="_Hlk149736119"/>
      <w:r>
        <w:rPr>
          <w:rFonts w:ascii="Calibri" w:eastAsia="Calibri" w:hAnsi="Calibri" w:cs="Times New Roman"/>
          <w:lang w:val="en-GB"/>
        </w:rPr>
        <w:t>This is done by the MitID administrator</w:t>
      </w:r>
      <w:r w:rsidR="009A386C">
        <w:rPr>
          <w:rFonts w:ascii="Calibri" w:eastAsia="Calibri" w:hAnsi="Calibri" w:cs="Times New Roman"/>
          <w:lang w:val="en-GB"/>
        </w:rPr>
        <w:t xml:space="preserve"> of the business.</w:t>
      </w:r>
    </w:p>
    <w:p w14:paraId="40A3AA81" w14:textId="2843EF32" w:rsidR="00634CC5" w:rsidRPr="000B5CEC" w:rsidRDefault="00B12E20" w:rsidP="00A74ABE">
      <w:pPr>
        <w:rPr>
          <w:lang w:val="en-US"/>
        </w:rPr>
      </w:pPr>
      <w:r>
        <w:rPr>
          <w:rFonts w:ascii="Calibri" w:eastAsia="Calibri" w:hAnsi="Calibri" w:cs="Times New Roman"/>
          <w:lang w:val="en-GB"/>
        </w:rPr>
        <w:t>How to find guidance on rights management at E-tax for businesses:</w:t>
      </w:r>
    </w:p>
    <w:p w14:paraId="138A542A" w14:textId="454B8F80" w:rsidR="003B5D03" w:rsidRPr="000B5CEC" w:rsidRDefault="00B12E20" w:rsidP="00634CC5">
      <w:pPr>
        <w:pStyle w:val="Listeafsnit"/>
        <w:numPr>
          <w:ilvl w:val="0"/>
          <w:numId w:val="2"/>
        </w:numPr>
        <w:rPr>
          <w:b/>
          <w:bCs/>
          <w:lang w:val="en-US"/>
        </w:rPr>
      </w:pPr>
      <w:r>
        <w:rPr>
          <w:rFonts w:ascii="Calibri" w:eastAsia="Calibri" w:hAnsi="Calibri" w:cs="Times New Roman"/>
          <w:lang w:val="en-GB"/>
        </w:rPr>
        <w:t>Go to</w:t>
      </w:r>
      <w:r w:rsidR="009A386C">
        <w:rPr>
          <w:rFonts w:ascii="Calibri" w:eastAsia="Calibri" w:hAnsi="Calibri" w:cs="Times New Roman"/>
          <w:lang w:val="en-GB"/>
        </w:rPr>
        <w:t xml:space="preserve"> </w:t>
      </w:r>
      <w:hyperlink r:id="rId14" w:history="1">
        <w:r w:rsidR="009A386C" w:rsidRPr="009A386C">
          <w:rPr>
            <w:rStyle w:val="Hyperlink"/>
            <w:rFonts w:ascii="Calibri" w:eastAsia="Calibri" w:hAnsi="Calibri" w:cs="Times New Roman"/>
            <w:lang w:val="en-GB"/>
          </w:rPr>
          <w:t>skat.dk/en-us/businesses</w:t>
        </w:r>
      </w:hyperlink>
    </w:p>
    <w:p w14:paraId="1879A7A5" w14:textId="5FC44198" w:rsidR="001F12F4" w:rsidRPr="000B5CEC" w:rsidRDefault="00B12E20" w:rsidP="003B5D03">
      <w:pPr>
        <w:pStyle w:val="Listeafsnit"/>
        <w:numPr>
          <w:ilvl w:val="0"/>
          <w:numId w:val="2"/>
        </w:numPr>
        <w:rPr>
          <w:b/>
          <w:bCs/>
          <w:lang w:val="en-US"/>
        </w:rPr>
      </w:pPr>
      <w:r>
        <w:rPr>
          <w:rFonts w:ascii="Calibri" w:eastAsia="Calibri" w:hAnsi="Calibri" w:cs="Times New Roman"/>
          <w:lang w:val="en-GB"/>
        </w:rPr>
        <w:t xml:space="preserve">Select </w:t>
      </w:r>
      <w:r>
        <w:rPr>
          <w:rFonts w:ascii="Calibri" w:eastAsia="Calibri" w:hAnsi="Calibri" w:cs="Times New Roman"/>
          <w:b/>
          <w:bCs/>
          <w:lang w:val="en-GB"/>
        </w:rPr>
        <w:t>E-tax for businesses</w:t>
      </w:r>
    </w:p>
    <w:p w14:paraId="2736493A" w14:textId="561687E8" w:rsidR="00D113B1" w:rsidRPr="000B5CEC" w:rsidRDefault="00B12E20" w:rsidP="00A96837">
      <w:pPr>
        <w:pStyle w:val="Listeafsnit"/>
        <w:numPr>
          <w:ilvl w:val="0"/>
          <w:numId w:val="2"/>
        </w:numPr>
        <w:rPr>
          <w:b/>
          <w:bCs/>
          <w:lang w:val="en-US"/>
        </w:rPr>
      </w:pPr>
      <w:r>
        <w:rPr>
          <w:rFonts w:ascii="Calibri" w:eastAsia="Calibri" w:hAnsi="Calibri" w:cs="Times New Roman"/>
          <w:lang w:val="en-GB"/>
        </w:rPr>
        <w:t xml:space="preserve">Select </w:t>
      </w:r>
      <w:r>
        <w:rPr>
          <w:rFonts w:ascii="Calibri" w:eastAsia="Calibri" w:hAnsi="Calibri" w:cs="Times New Roman"/>
          <w:b/>
          <w:bCs/>
          <w:lang w:val="en-GB"/>
        </w:rPr>
        <w:t>Authorise others to access your E-tax for businesses</w:t>
      </w:r>
      <w:r>
        <w:rPr>
          <w:rFonts w:ascii="Calibri" w:eastAsia="Calibri" w:hAnsi="Calibri" w:cs="Times New Roman"/>
          <w:lang w:val="en-GB"/>
        </w:rPr>
        <w:t xml:space="preserve">. </w:t>
      </w:r>
    </w:p>
    <w:p w14:paraId="157F6B8C" w14:textId="77777777" w:rsidR="0060173B" w:rsidRPr="000B5CEC" w:rsidRDefault="0060173B" w:rsidP="00A74ABE">
      <w:pPr>
        <w:rPr>
          <w:lang w:val="en-US"/>
        </w:rPr>
      </w:pPr>
    </w:p>
    <w:p w14:paraId="111CDE33" w14:textId="100583E5" w:rsidR="00A74ABE" w:rsidRPr="000B5CEC" w:rsidRDefault="00B12E20" w:rsidP="00D113B1">
      <w:pPr>
        <w:pStyle w:val="Overskrift3"/>
        <w:rPr>
          <w:lang w:val="en-US"/>
        </w:rPr>
      </w:pPr>
      <w:bookmarkStart w:id="7" w:name="_Toc156827542"/>
      <w:r>
        <w:rPr>
          <w:rFonts w:eastAsia="Arial"/>
          <w:szCs w:val="20"/>
          <w:lang w:val="en-GB"/>
        </w:rPr>
        <w:lastRenderedPageBreak/>
        <w:t xml:space="preserve">2.3.1 If you submit </w:t>
      </w:r>
      <w:r w:rsidR="00127793">
        <w:rPr>
          <w:rFonts w:eastAsia="Arial"/>
          <w:szCs w:val="20"/>
          <w:lang w:val="en-GB"/>
        </w:rPr>
        <w:t xml:space="preserve">data </w:t>
      </w:r>
      <w:r>
        <w:rPr>
          <w:rFonts w:eastAsia="Arial"/>
          <w:szCs w:val="20"/>
          <w:lang w:val="en-GB"/>
        </w:rPr>
        <w:t>on behalf of others</w:t>
      </w:r>
      <w:bookmarkEnd w:id="7"/>
    </w:p>
    <w:p w14:paraId="0427423B" w14:textId="5C47997A" w:rsidR="00C01D65" w:rsidRPr="009A386C" w:rsidRDefault="00B12E20" w:rsidP="00C01D65">
      <w:pPr>
        <w:rPr>
          <w:rStyle w:val="Hyperlink"/>
          <w:lang w:val="en-US"/>
        </w:rPr>
      </w:pPr>
      <w:r>
        <w:rPr>
          <w:rFonts w:ascii="Calibri" w:eastAsia="Calibri" w:hAnsi="Calibri" w:cs="Times New Roman"/>
          <w:lang w:val="en-GB"/>
        </w:rPr>
        <w:t xml:space="preserve">If you are to submit payment </w:t>
      </w:r>
      <w:r w:rsidR="00127793">
        <w:rPr>
          <w:rFonts w:ascii="Calibri" w:eastAsia="Calibri" w:hAnsi="Calibri" w:cs="Times New Roman"/>
          <w:lang w:val="en-GB"/>
        </w:rPr>
        <w:t xml:space="preserve">data </w:t>
      </w:r>
      <w:r>
        <w:rPr>
          <w:rFonts w:ascii="Calibri" w:eastAsia="Calibri" w:hAnsi="Calibri" w:cs="Times New Roman"/>
          <w:lang w:val="en-GB"/>
        </w:rPr>
        <w:t xml:space="preserve">on behalf of businesses that are subject to a reporting obligation, your business must be registered with the accountant scheme. The guide to the accountant scheme is available at </w:t>
      </w:r>
      <w:r w:rsidR="009A386C">
        <w:rPr>
          <w:rFonts w:ascii="Calibri" w:eastAsia="Calibri" w:hAnsi="Calibri" w:cs="Times New Roman"/>
          <w:color w:val="0563C1"/>
          <w:lang w:val="en-GB"/>
        </w:rPr>
        <w:fldChar w:fldCharType="begin"/>
      </w:r>
      <w:r w:rsidR="009A386C">
        <w:rPr>
          <w:rFonts w:ascii="Calibri" w:eastAsia="Calibri" w:hAnsi="Calibri" w:cs="Times New Roman"/>
          <w:color w:val="0563C1"/>
          <w:lang w:val="en-GB"/>
        </w:rPr>
        <w:instrText xml:space="preserve"> HYPERLINK "https://skat.dk/en-us/businesses/e-tax-for-businesses/register-your-business-for-the-accountant-scheme" </w:instrText>
      </w:r>
      <w:r w:rsidR="009A386C">
        <w:rPr>
          <w:rFonts w:ascii="Calibri" w:eastAsia="Calibri" w:hAnsi="Calibri" w:cs="Times New Roman"/>
          <w:color w:val="0563C1"/>
          <w:lang w:val="en-GB"/>
        </w:rPr>
      </w:r>
      <w:r w:rsidR="009A386C">
        <w:rPr>
          <w:rFonts w:ascii="Calibri" w:eastAsia="Calibri" w:hAnsi="Calibri" w:cs="Times New Roman"/>
          <w:color w:val="0563C1"/>
          <w:lang w:val="en-GB"/>
        </w:rPr>
        <w:fldChar w:fldCharType="separate"/>
      </w:r>
      <w:r w:rsidRPr="009A386C">
        <w:rPr>
          <w:rStyle w:val="Hyperlink"/>
          <w:rFonts w:ascii="Calibri" w:eastAsia="Calibri" w:hAnsi="Calibri" w:cs="Times New Roman"/>
          <w:lang w:val="en-GB"/>
        </w:rPr>
        <w:t xml:space="preserve">skat.dk/en-us/businesses/e-tax-for-businesses/register-your-business-for-the-accountant-scheme. </w:t>
      </w:r>
    </w:p>
    <w:p w14:paraId="43B0390A" w14:textId="0D831B96" w:rsidR="00D113B1" w:rsidRPr="000B5CEC" w:rsidRDefault="009A386C" w:rsidP="00D113B1">
      <w:pPr>
        <w:rPr>
          <w:lang w:val="en-US"/>
        </w:rPr>
      </w:pPr>
      <w:r>
        <w:rPr>
          <w:rFonts w:ascii="Calibri" w:eastAsia="Calibri" w:hAnsi="Calibri" w:cs="Times New Roman"/>
          <w:color w:val="0563C1"/>
          <w:lang w:val="en-GB"/>
        </w:rPr>
        <w:fldChar w:fldCharType="end"/>
      </w:r>
      <w:r w:rsidR="00B12E20">
        <w:rPr>
          <w:rFonts w:ascii="Calibri" w:eastAsia="Calibri" w:hAnsi="Calibri" w:cs="Times New Roman"/>
          <w:lang w:val="en-GB"/>
        </w:rPr>
        <w:t xml:space="preserve">The business that is subject to a reporting obligation and on the behalf of which you are reporting must grant you the right to report </w:t>
      </w:r>
      <w:r w:rsidR="00127793">
        <w:rPr>
          <w:rFonts w:ascii="Calibri" w:eastAsia="Calibri" w:hAnsi="Calibri" w:cs="Times New Roman"/>
          <w:lang w:val="en-GB"/>
        </w:rPr>
        <w:t xml:space="preserve">data </w:t>
      </w:r>
      <w:r w:rsidR="00B12E20">
        <w:rPr>
          <w:rFonts w:ascii="Calibri" w:eastAsia="Calibri" w:hAnsi="Calibri" w:cs="Times New Roman"/>
          <w:lang w:val="en-GB"/>
        </w:rPr>
        <w:t xml:space="preserve">on its behalf. The guide to how to authorise your accountant or consultant to report </w:t>
      </w:r>
      <w:r w:rsidR="00127793">
        <w:rPr>
          <w:rFonts w:ascii="Calibri" w:eastAsia="Calibri" w:hAnsi="Calibri" w:cs="Times New Roman"/>
          <w:lang w:val="en-GB"/>
        </w:rPr>
        <w:t xml:space="preserve">data </w:t>
      </w:r>
      <w:r w:rsidR="00B12E20">
        <w:rPr>
          <w:rFonts w:ascii="Calibri" w:eastAsia="Calibri" w:hAnsi="Calibri" w:cs="Times New Roman"/>
          <w:lang w:val="en-GB"/>
        </w:rPr>
        <w:t xml:space="preserve">on behalf of your business is available at </w:t>
      </w:r>
      <w:hyperlink r:id="rId15" w:history="1">
        <w:r w:rsidR="00B12E20">
          <w:rPr>
            <w:rFonts w:ascii="Calibri" w:eastAsia="Calibri" w:hAnsi="Calibri" w:cs="Times New Roman"/>
            <w:color w:val="0563C1"/>
            <w:u w:val="single"/>
            <w:lang w:val="en-GB"/>
          </w:rPr>
          <w:t>skat.dk/en-us/businesses/e-tax-for-businesses/authorise-others-to-access-your-e-tax-for-businesses/authorise-your-accountantconsultant-to-report-information-on-behalf-of-your-business</w:t>
        </w:r>
      </w:hyperlink>
      <w:r w:rsidR="00B12E20">
        <w:rPr>
          <w:rFonts w:ascii="Calibri" w:eastAsia="Calibri" w:hAnsi="Calibri" w:cs="Times New Roman"/>
          <w:lang w:val="en-GB"/>
        </w:rPr>
        <w:t xml:space="preserve">. </w:t>
      </w:r>
      <w:bookmarkEnd w:id="6"/>
    </w:p>
    <w:p w14:paraId="10210336" w14:textId="5D84F9FE" w:rsidR="00A15EC3" w:rsidRPr="000B5CEC" w:rsidRDefault="00A15EC3" w:rsidP="00CE2CC8">
      <w:pPr>
        <w:rPr>
          <w:lang w:val="en-US"/>
        </w:rPr>
      </w:pPr>
    </w:p>
    <w:p w14:paraId="7BC987EE" w14:textId="17F1891C" w:rsidR="007B5420" w:rsidRPr="000B5CEC" w:rsidRDefault="00B12E20" w:rsidP="00A15EC3">
      <w:pPr>
        <w:pStyle w:val="Overskrift1"/>
        <w:rPr>
          <w:lang w:val="en-US" w:eastAsia="da-DK"/>
        </w:rPr>
      </w:pPr>
      <w:bookmarkStart w:id="8" w:name="_Toc156827543"/>
      <w:r w:rsidRPr="00A618F0">
        <w:rPr>
          <w:rFonts w:eastAsia="Arial"/>
          <w:szCs w:val="30"/>
          <w:lang w:val="en-GB" w:eastAsia="da-DK"/>
        </w:rPr>
        <w:t xml:space="preserve">3 Test environment </w:t>
      </w:r>
      <w:r w:rsidRPr="001406C5">
        <w:rPr>
          <w:rFonts w:eastAsia="Arial"/>
          <w:szCs w:val="30"/>
          <w:lang w:val="en-GB" w:eastAsia="da-DK"/>
        </w:rPr>
        <w:t>for report</w:t>
      </w:r>
      <w:r w:rsidR="001406C5" w:rsidRPr="001406C5">
        <w:rPr>
          <w:rFonts w:eastAsia="Arial"/>
          <w:szCs w:val="30"/>
          <w:lang w:val="en-GB" w:eastAsia="da-DK"/>
        </w:rPr>
        <w:t>ing PSP</w:t>
      </w:r>
      <w:r w:rsidRPr="001406C5">
        <w:rPr>
          <w:rFonts w:eastAsia="Arial"/>
          <w:szCs w:val="30"/>
          <w:lang w:val="en-GB" w:eastAsia="da-DK"/>
        </w:rPr>
        <w:t>s</w:t>
      </w:r>
      <w:bookmarkEnd w:id="8"/>
    </w:p>
    <w:p w14:paraId="7A003B17" w14:textId="088B8647" w:rsidR="00A15EC3" w:rsidRPr="000B5CEC" w:rsidRDefault="00B12E20" w:rsidP="00A15EC3">
      <w:pPr>
        <w:rPr>
          <w:lang w:val="en-US" w:eastAsia="da-DK"/>
        </w:rPr>
      </w:pPr>
      <w:r>
        <w:rPr>
          <w:rFonts w:ascii="Calibri" w:eastAsia="Calibri" w:hAnsi="Calibri" w:cs="Times New Roman"/>
          <w:lang w:val="en-GB" w:eastAsia="da-DK"/>
        </w:rPr>
        <w:t>The Tax Agency provides a test environment for the report</w:t>
      </w:r>
      <w:r w:rsidR="001406C5">
        <w:rPr>
          <w:rFonts w:ascii="Calibri" w:eastAsia="Calibri" w:hAnsi="Calibri" w:cs="Times New Roman"/>
          <w:lang w:val="en-GB" w:eastAsia="da-DK"/>
        </w:rPr>
        <w:t>ing PSPs</w:t>
      </w:r>
      <w:r>
        <w:rPr>
          <w:rFonts w:ascii="Calibri" w:eastAsia="Calibri" w:hAnsi="Calibri" w:cs="Times New Roman"/>
          <w:lang w:val="en-GB" w:eastAsia="da-DK"/>
        </w:rPr>
        <w:t>. The test environment has the same security as our production environment, but it is intended for test data only.</w:t>
      </w:r>
    </w:p>
    <w:p w14:paraId="48A556B6" w14:textId="3AFA4D1F" w:rsidR="009D25AB" w:rsidRPr="000B5CEC" w:rsidRDefault="00B12E20" w:rsidP="009D25AB">
      <w:pPr>
        <w:rPr>
          <w:rStyle w:val="Hyperlink"/>
          <w:lang w:val="en-US" w:eastAsia="da-DK"/>
        </w:rPr>
      </w:pPr>
      <w:bookmarkStart w:id="9" w:name="_Hlk149746119"/>
      <w:r>
        <w:rPr>
          <w:rFonts w:ascii="Calibri" w:eastAsia="Calibri" w:hAnsi="Calibri" w:cs="Times New Roman"/>
          <w:lang w:val="en-GB" w:eastAsia="da-DK"/>
        </w:rPr>
        <w:t xml:space="preserve">Before reporting in the </w:t>
      </w:r>
      <w:r w:rsidR="001406C5">
        <w:rPr>
          <w:rFonts w:ascii="Calibri" w:eastAsia="Calibri" w:hAnsi="Calibri" w:cs="Times New Roman"/>
          <w:lang w:val="en-GB" w:eastAsia="da-DK"/>
        </w:rPr>
        <w:t>test</w:t>
      </w:r>
      <w:r>
        <w:rPr>
          <w:rFonts w:ascii="Calibri" w:eastAsia="Calibri" w:hAnsi="Calibri" w:cs="Times New Roman"/>
          <w:lang w:val="en-GB" w:eastAsia="da-DK"/>
        </w:rPr>
        <w:t xml:space="preserve"> environment, we recommend that the test file </w:t>
      </w:r>
      <w:r w:rsidR="00A618F0">
        <w:rPr>
          <w:rFonts w:ascii="Calibri" w:eastAsia="Calibri" w:hAnsi="Calibri" w:cs="Times New Roman"/>
          <w:lang w:val="en-GB" w:eastAsia="da-DK"/>
        </w:rPr>
        <w:t>is</w:t>
      </w:r>
      <w:r>
        <w:rPr>
          <w:rFonts w:ascii="Calibri" w:eastAsia="Calibri" w:hAnsi="Calibri" w:cs="Times New Roman"/>
          <w:lang w:val="en-GB" w:eastAsia="da-DK"/>
        </w:rPr>
        <w:t xml:space="preserve"> validated using the validation module provided by the EU. </w:t>
      </w:r>
      <w:hyperlink r:id="rId16" w:history="1">
        <w:r>
          <w:rPr>
            <w:rFonts w:ascii="Calibri" w:eastAsia="Calibri" w:hAnsi="Calibri" w:cs="Times New Roman"/>
            <w:color w:val="0563C1"/>
            <w:u w:val="single"/>
            <w:lang w:val="en-GB" w:eastAsia="da-DK"/>
          </w:rPr>
          <w:t>The validation module and guide can be found at the EU web page on CESOP</w:t>
        </w:r>
      </w:hyperlink>
      <w:r>
        <w:rPr>
          <w:rFonts w:ascii="Calibri" w:eastAsia="Calibri" w:hAnsi="Calibri" w:cs="Times New Roman"/>
          <w:lang w:val="en-GB" w:eastAsia="da-DK"/>
        </w:rPr>
        <w:t xml:space="preserve">. </w:t>
      </w:r>
    </w:p>
    <w:p w14:paraId="79854C2A" w14:textId="77777777" w:rsidR="00F0198A" w:rsidRDefault="00F0198A" w:rsidP="00A15EC3">
      <w:pPr>
        <w:pStyle w:val="Overskrift2"/>
        <w:rPr>
          <w:rFonts w:eastAsia="Arial"/>
          <w:szCs w:val="22"/>
          <w:lang w:val="en-GB" w:eastAsia="da-DK"/>
        </w:rPr>
      </w:pPr>
      <w:bookmarkStart w:id="10" w:name="_Toc156827544"/>
      <w:bookmarkEnd w:id="9"/>
    </w:p>
    <w:p w14:paraId="78D60514" w14:textId="0D9A74F3" w:rsidR="00A15EC3" w:rsidRPr="000B5CEC" w:rsidRDefault="00B12E20" w:rsidP="00A15EC3">
      <w:pPr>
        <w:pStyle w:val="Overskrift2"/>
        <w:rPr>
          <w:lang w:val="en-US" w:eastAsia="da-DK"/>
        </w:rPr>
      </w:pPr>
      <w:r>
        <w:rPr>
          <w:rFonts w:eastAsia="Arial"/>
          <w:szCs w:val="22"/>
          <w:lang w:val="en-GB" w:eastAsia="da-DK"/>
        </w:rPr>
        <w:t xml:space="preserve">3.1 Access to </w:t>
      </w:r>
      <w:bookmarkEnd w:id="10"/>
      <w:r w:rsidR="001406C5">
        <w:rPr>
          <w:rFonts w:eastAsia="Arial"/>
          <w:szCs w:val="22"/>
          <w:lang w:val="en-GB" w:eastAsia="da-DK"/>
        </w:rPr>
        <w:t>the test environment</w:t>
      </w:r>
    </w:p>
    <w:p w14:paraId="1EB44C14" w14:textId="3B0FD050" w:rsidR="00A15EC3" w:rsidRPr="000B5CEC" w:rsidRDefault="00B12E20" w:rsidP="00A15EC3">
      <w:pPr>
        <w:rPr>
          <w:lang w:val="en-US"/>
        </w:rPr>
      </w:pPr>
      <w:r>
        <w:rPr>
          <w:rFonts w:ascii="Calibri" w:eastAsia="Calibri" w:hAnsi="Calibri" w:cs="Times New Roman"/>
          <w:lang w:val="en-GB" w:eastAsia="da-DK"/>
        </w:rPr>
        <w:t xml:space="preserve">To test the reporting solution in the test environment, you must log on </w:t>
      </w:r>
      <w:r w:rsidR="00A618F0">
        <w:rPr>
          <w:rFonts w:ascii="Calibri" w:eastAsia="Calibri" w:hAnsi="Calibri" w:cs="Times New Roman"/>
          <w:lang w:val="en-GB" w:eastAsia="da-DK"/>
        </w:rPr>
        <w:t>to</w:t>
      </w:r>
      <w:r>
        <w:rPr>
          <w:rFonts w:ascii="Calibri" w:eastAsia="Calibri" w:hAnsi="Calibri" w:cs="Times New Roman"/>
          <w:lang w:val="en-GB" w:eastAsia="da-DK"/>
        </w:rPr>
        <w:t xml:space="preserve"> E-tax for businesses. The following links can then be accessed for testing purposes:</w:t>
      </w:r>
    </w:p>
    <w:p w14:paraId="05D74D79" w14:textId="77777777" w:rsidR="00A15EC3" w:rsidRPr="0020174F" w:rsidRDefault="00B12E20" w:rsidP="00A15EC3">
      <w:pPr>
        <w:numPr>
          <w:ilvl w:val="0"/>
          <w:numId w:val="1"/>
        </w:numPr>
        <w:spacing w:line="259" w:lineRule="auto"/>
        <w:rPr>
          <w:lang w:val="en-US"/>
        </w:rPr>
      </w:pPr>
      <w:r w:rsidRPr="0020174F">
        <w:rPr>
          <w:rFonts w:ascii="Calibri" w:eastAsia="Calibri" w:hAnsi="Calibri" w:cs="Times New Roman"/>
          <w:lang w:val="en-GB"/>
        </w:rPr>
        <w:t xml:space="preserve">Submit file: </w:t>
      </w:r>
      <w:hyperlink r:id="rId17" w:history="1">
        <w:r w:rsidRPr="0020174F">
          <w:rPr>
            <w:rFonts w:ascii="Calibri" w:eastAsia="Calibri" w:hAnsi="Calibri" w:cs="Times New Roman"/>
            <w:color w:val="0563C1"/>
            <w:u w:val="single"/>
            <w:lang w:val="en-GB"/>
          </w:rPr>
          <w:t>https://ntse.cesop.tfe.skat.dk/indsend</w:t>
        </w:r>
      </w:hyperlink>
    </w:p>
    <w:p w14:paraId="2FC3C2E5" w14:textId="2037086C" w:rsidR="00A15EC3" w:rsidRPr="0020174F" w:rsidRDefault="00B12E20" w:rsidP="00A15EC3">
      <w:pPr>
        <w:numPr>
          <w:ilvl w:val="0"/>
          <w:numId w:val="1"/>
        </w:numPr>
        <w:spacing w:line="259" w:lineRule="auto"/>
        <w:rPr>
          <w:lang w:val="en-US"/>
        </w:rPr>
      </w:pPr>
      <w:r w:rsidRPr="0020174F">
        <w:rPr>
          <w:rFonts w:ascii="Calibri" w:eastAsia="Calibri" w:hAnsi="Calibri" w:cs="Times New Roman"/>
          <w:lang w:val="en-GB"/>
        </w:rPr>
        <w:t xml:space="preserve">See overview of already submitted files: </w:t>
      </w:r>
      <w:hyperlink r:id="rId18" w:history="1">
        <w:r w:rsidRPr="0020174F">
          <w:rPr>
            <w:rFonts w:ascii="Calibri" w:eastAsia="Calibri" w:hAnsi="Calibri" w:cs="Times New Roman"/>
            <w:color w:val="0563C1"/>
            <w:u w:val="single"/>
            <w:lang w:val="en-GB"/>
          </w:rPr>
          <w:t>https://ntse.cesop.tfe.skat.dk/overblik</w:t>
        </w:r>
      </w:hyperlink>
    </w:p>
    <w:p w14:paraId="33121865" w14:textId="23E5828F" w:rsidR="0060173B" w:rsidRPr="0020174F" w:rsidRDefault="00B12E20" w:rsidP="0060173B">
      <w:pPr>
        <w:numPr>
          <w:ilvl w:val="0"/>
          <w:numId w:val="1"/>
        </w:numPr>
        <w:spacing w:line="259" w:lineRule="auto"/>
        <w:rPr>
          <w:lang w:val="en-US"/>
        </w:rPr>
      </w:pPr>
      <w:r w:rsidRPr="0020174F">
        <w:rPr>
          <w:rFonts w:ascii="Calibri" w:eastAsia="Calibri" w:hAnsi="Calibri" w:cs="Times New Roman"/>
          <w:lang w:val="en-GB"/>
        </w:rPr>
        <w:t xml:space="preserve">Submit zero declaration: </w:t>
      </w:r>
      <w:hyperlink r:id="rId19" w:history="1">
        <w:r w:rsidRPr="0020174F">
          <w:rPr>
            <w:rFonts w:ascii="Calibri" w:eastAsia="Calibri" w:hAnsi="Calibri" w:cs="Times New Roman"/>
            <w:color w:val="0563C1"/>
            <w:u w:val="single"/>
            <w:lang w:val="en-GB"/>
          </w:rPr>
          <w:t>https://ntse.cesop.tfe.skat.dk/nulindberet</w:t>
        </w:r>
      </w:hyperlink>
    </w:p>
    <w:p w14:paraId="1216F288" w14:textId="0C6777D9" w:rsidR="0060173B" w:rsidRPr="000B5CEC" w:rsidRDefault="00B12E20" w:rsidP="00A15EC3">
      <w:pPr>
        <w:rPr>
          <w:lang w:val="en-US" w:eastAsia="da-DK"/>
        </w:rPr>
      </w:pPr>
      <w:r>
        <w:rPr>
          <w:rFonts w:ascii="Calibri" w:eastAsia="Calibri" w:hAnsi="Calibri" w:cs="Times New Roman"/>
          <w:lang w:val="en-GB" w:eastAsia="da-DK"/>
        </w:rPr>
        <w:t xml:space="preserve">As access control to </w:t>
      </w:r>
      <w:r w:rsidR="001406C5">
        <w:rPr>
          <w:rFonts w:ascii="Calibri" w:eastAsia="Calibri" w:hAnsi="Calibri" w:cs="Times New Roman"/>
          <w:lang w:val="en-GB" w:eastAsia="da-DK"/>
        </w:rPr>
        <w:t>test environment</w:t>
      </w:r>
      <w:r>
        <w:rPr>
          <w:rFonts w:ascii="Calibri" w:eastAsia="Calibri" w:hAnsi="Calibri" w:cs="Times New Roman"/>
          <w:lang w:val="en-GB" w:eastAsia="da-DK"/>
        </w:rPr>
        <w:t xml:space="preserve"> and the production environment is the same, </w:t>
      </w:r>
      <w:r w:rsidR="00A618F0">
        <w:rPr>
          <w:rFonts w:ascii="Calibri" w:eastAsia="Calibri" w:hAnsi="Calibri" w:cs="Times New Roman"/>
          <w:lang w:val="en-GB" w:eastAsia="da-DK"/>
        </w:rPr>
        <w:t xml:space="preserve">we recommend that you </w:t>
      </w:r>
      <w:r>
        <w:rPr>
          <w:rFonts w:ascii="Calibri" w:eastAsia="Calibri" w:hAnsi="Calibri" w:cs="Times New Roman"/>
          <w:lang w:val="en-GB" w:eastAsia="da-DK"/>
        </w:rPr>
        <w:t>pay extra attention to avoid accessing the wrong environment by mistake.</w:t>
      </w:r>
    </w:p>
    <w:p w14:paraId="6BDCA4D7" w14:textId="742F4E9B" w:rsidR="00A15EC3" w:rsidRPr="000B5CEC" w:rsidRDefault="00B12E20" w:rsidP="00A15EC3">
      <w:pPr>
        <w:rPr>
          <w:lang w:val="en-US" w:eastAsia="da-DK"/>
        </w:rPr>
      </w:pPr>
      <w:r>
        <w:rPr>
          <w:rFonts w:ascii="Calibri" w:eastAsia="Calibri" w:hAnsi="Calibri" w:cs="Times New Roman"/>
          <w:lang w:val="en-GB" w:eastAsia="da-DK"/>
        </w:rPr>
        <w:t>A</w:t>
      </w:r>
      <w:r w:rsidR="001406C5">
        <w:rPr>
          <w:rFonts w:ascii="Calibri" w:eastAsia="Calibri" w:hAnsi="Calibri" w:cs="Times New Roman"/>
          <w:lang w:val="en-GB" w:eastAsia="da-DK"/>
        </w:rPr>
        <w:t>t the test environment</w:t>
      </w:r>
      <w:r>
        <w:rPr>
          <w:rFonts w:ascii="Calibri" w:eastAsia="Calibri" w:hAnsi="Calibri" w:cs="Times New Roman"/>
          <w:lang w:val="en-GB" w:eastAsia="da-DK"/>
        </w:rPr>
        <w:t xml:space="preserve">, a yellow bar will always be displayed on the screen showing that you are in the </w:t>
      </w:r>
      <w:r w:rsidR="001406C5">
        <w:rPr>
          <w:rFonts w:ascii="Calibri" w:eastAsia="Calibri" w:hAnsi="Calibri" w:cs="Times New Roman"/>
          <w:lang w:val="en-GB" w:eastAsia="da-DK"/>
        </w:rPr>
        <w:t>test</w:t>
      </w:r>
      <w:r>
        <w:rPr>
          <w:rFonts w:ascii="Calibri" w:eastAsia="Calibri" w:hAnsi="Calibri" w:cs="Times New Roman"/>
          <w:lang w:val="en-GB" w:eastAsia="da-DK"/>
        </w:rPr>
        <w:t xml:space="preserve"> environment.</w:t>
      </w:r>
    </w:p>
    <w:p w14:paraId="4D406A62" w14:textId="77777777" w:rsidR="0060173B" w:rsidRPr="000B5CEC" w:rsidRDefault="0060173B" w:rsidP="00A15EC3">
      <w:pPr>
        <w:rPr>
          <w:lang w:val="en-US" w:eastAsia="da-DK"/>
        </w:rPr>
      </w:pPr>
    </w:p>
    <w:p w14:paraId="5A1DBBE1" w14:textId="773C5B59" w:rsidR="00A15EC3" w:rsidRPr="000B5CEC" w:rsidRDefault="00B12E20" w:rsidP="004D722F">
      <w:pPr>
        <w:pStyle w:val="Overskrift1"/>
        <w:rPr>
          <w:lang w:val="en-US" w:eastAsia="da-DK"/>
        </w:rPr>
      </w:pPr>
      <w:bookmarkStart w:id="11" w:name="_Toc156827545"/>
      <w:r>
        <w:rPr>
          <w:rFonts w:eastAsia="Arial"/>
          <w:szCs w:val="30"/>
          <w:lang w:val="en-GB" w:eastAsia="da-DK"/>
        </w:rPr>
        <w:t>4 Production environment</w:t>
      </w:r>
      <w:bookmarkEnd w:id="11"/>
    </w:p>
    <w:p w14:paraId="2BE7356B" w14:textId="5AA8B9E8" w:rsidR="00617FC3" w:rsidRPr="000B5CEC" w:rsidRDefault="00B12E20" w:rsidP="00617FC3">
      <w:pPr>
        <w:rPr>
          <w:rStyle w:val="Hyperlink"/>
          <w:lang w:val="en-US" w:eastAsia="da-DK"/>
        </w:rPr>
      </w:pPr>
      <w:r>
        <w:rPr>
          <w:rFonts w:ascii="Calibri" w:eastAsia="Calibri" w:hAnsi="Calibri" w:cs="Times New Roman"/>
          <w:lang w:val="en-GB" w:eastAsia="da-DK"/>
        </w:rPr>
        <w:t xml:space="preserve">Before reporting in the production environment, we recommend that you validate the test file using the validation module provided by the EU. </w:t>
      </w:r>
      <w:hyperlink r:id="rId20" w:history="1">
        <w:r>
          <w:rPr>
            <w:rFonts w:ascii="Calibri" w:eastAsia="Calibri" w:hAnsi="Calibri" w:cs="Times New Roman"/>
            <w:color w:val="0563C1"/>
            <w:u w:val="single"/>
            <w:lang w:val="en-GB" w:eastAsia="da-DK"/>
          </w:rPr>
          <w:t>The validation module and guide can be found at the EU web page on CESOP</w:t>
        </w:r>
      </w:hyperlink>
      <w:r>
        <w:rPr>
          <w:rFonts w:ascii="Calibri" w:eastAsia="Calibri" w:hAnsi="Calibri" w:cs="Times New Roman"/>
          <w:lang w:val="en-GB" w:eastAsia="da-DK"/>
        </w:rPr>
        <w:t xml:space="preserve">. </w:t>
      </w:r>
    </w:p>
    <w:p w14:paraId="29B705BD" w14:textId="77777777" w:rsidR="004D722F" w:rsidRPr="000B5CEC" w:rsidRDefault="004D722F" w:rsidP="004D722F">
      <w:pPr>
        <w:rPr>
          <w:lang w:val="en-US" w:eastAsia="da-DK"/>
        </w:rPr>
      </w:pPr>
    </w:p>
    <w:p w14:paraId="599EE4C1" w14:textId="1753CA59" w:rsidR="00A15EC3" w:rsidRPr="000B5CEC" w:rsidRDefault="00B12E20" w:rsidP="004D722F">
      <w:pPr>
        <w:pStyle w:val="Overskrift2"/>
        <w:rPr>
          <w:lang w:val="en-US" w:eastAsia="da-DK"/>
        </w:rPr>
      </w:pPr>
      <w:bookmarkStart w:id="12" w:name="_Toc156827546"/>
      <w:r>
        <w:rPr>
          <w:rFonts w:eastAsia="Arial"/>
          <w:szCs w:val="22"/>
          <w:lang w:val="en-GB" w:eastAsia="da-DK"/>
        </w:rPr>
        <w:t xml:space="preserve">4.1 Access </w:t>
      </w:r>
      <w:r w:rsidR="00A618F0">
        <w:rPr>
          <w:rFonts w:eastAsia="Arial"/>
          <w:szCs w:val="22"/>
          <w:lang w:val="en-GB" w:eastAsia="da-DK"/>
        </w:rPr>
        <w:t xml:space="preserve">to the </w:t>
      </w:r>
      <w:r>
        <w:rPr>
          <w:rFonts w:eastAsia="Arial"/>
          <w:szCs w:val="22"/>
          <w:lang w:val="en-GB" w:eastAsia="da-DK"/>
        </w:rPr>
        <w:t>production environment</w:t>
      </w:r>
      <w:bookmarkEnd w:id="12"/>
    </w:p>
    <w:p w14:paraId="41AC6159" w14:textId="69F206F8" w:rsidR="00A46D4B" w:rsidRPr="000B5CEC" w:rsidRDefault="00B12E20" w:rsidP="004D722F">
      <w:pPr>
        <w:rPr>
          <w:lang w:val="en-US" w:eastAsia="da-DK"/>
        </w:rPr>
      </w:pPr>
      <w:r>
        <w:rPr>
          <w:rFonts w:ascii="Calibri" w:eastAsia="Calibri" w:hAnsi="Calibri" w:cs="Times New Roman"/>
          <w:lang w:val="en-GB" w:eastAsia="da-DK"/>
        </w:rPr>
        <w:t>How to obtain access to reporting in the production environment:</w:t>
      </w:r>
    </w:p>
    <w:p w14:paraId="21ECDDF9" w14:textId="0A0D35B8" w:rsidR="00A46D4B" w:rsidRPr="00BF7F86" w:rsidRDefault="00B12E20" w:rsidP="00A46D4B">
      <w:pPr>
        <w:pStyle w:val="Listeafsnit"/>
        <w:numPr>
          <w:ilvl w:val="0"/>
          <w:numId w:val="3"/>
        </w:numPr>
        <w:rPr>
          <w:lang w:val="en-US" w:eastAsia="da-DK"/>
        </w:rPr>
      </w:pPr>
      <w:r>
        <w:rPr>
          <w:rFonts w:ascii="Calibri" w:eastAsia="Calibri" w:hAnsi="Calibri" w:cs="Times New Roman"/>
          <w:lang w:val="en-GB" w:eastAsia="da-DK"/>
        </w:rPr>
        <w:t xml:space="preserve">Log on at </w:t>
      </w:r>
      <w:hyperlink r:id="rId21" w:history="1">
        <w:r>
          <w:rPr>
            <w:rFonts w:ascii="Calibri" w:eastAsia="Calibri" w:hAnsi="Calibri" w:cs="Times New Roman"/>
            <w:color w:val="0563C1"/>
            <w:u w:val="single"/>
            <w:lang w:val="en-GB" w:eastAsia="da-DK"/>
          </w:rPr>
          <w:t>E-tax for businesses</w:t>
        </w:r>
      </w:hyperlink>
    </w:p>
    <w:p w14:paraId="3EFC2F27" w14:textId="2386A5C9" w:rsidR="00A46D4B" w:rsidRDefault="00B12E20" w:rsidP="00A46D4B">
      <w:pPr>
        <w:pStyle w:val="Listeafsnit"/>
        <w:numPr>
          <w:ilvl w:val="0"/>
          <w:numId w:val="3"/>
        </w:numPr>
        <w:rPr>
          <w:lang w:eastAsia="da-DK"/>
        </w:rPr>
      </w:pPr>
      <w:r>
        <w:rPr>
          <w:rFonts w:ascii="Calibri" w:eastAsia="Calibri" w:hAnsi="Calibri" w:cs="Times New Roman"/>
          <w:lang w:val="en-GB" w:eastAsia="da-DK"/>
        </w:rPr>
        <w:lastRenderedPageBreak/>
        <w:t>Go to Other reports</w:t>
      </w:r>
    </w:p>
    <w:p w14:paraId="40185EDF" w14:textId="1413D3D0" w:rsidR="003C3558" w:rsidRDefault="00B12E20" w:rsidP="00076382">
      <w:pPr>
        <w:pStyle w:val="Listeafsnit"/>
        <w:numPr>
          <w:ilvl w:val="0"/>
          <w:numId w:val="3"/>
        </w:numPr>
        <w:rPr>
          <w:lang w:eastAsia="da-DK"/>
        </w:rPr>
      </w:pPr>
      <w:r>
        <w:rPr>
          <w:rFonts w:ascii="Calibri" w:eastAsia="Calibri" w:hAnsi="Calibri" w:cs="Times New Roman"/>
          <w:lang w:val="en-GB" w:eastAsia="da-DK"/>
        </w:rPr>
        <w:t xml:space="preserve">Go to </w:t>
      </w:r>
      <w:r>
        <w:rPr>
          <w:rFonts w:ascii="Calibri" w:eastAsia="Calibri" w:hAnsi="Calibri" w:cs="Times New Roman"/>
          <w:b/>
          <w:bCs/>
          <w:lang w:val="en-GB" w:eastAsia="da-DK"/>
        </w:rPr>
        <w:t>CESOP-EN-US</w:t>
      </w:r>
    </w:p>
    <w:p w14:paraId="33C411F3" w14:textId="3AEFC28D" w:rsidR="003E670A" w:rsidRPr="000B5CEC" w:rsidRDefault="00B12E20" w:rsidP="004D722F">
      <w:pPr>
        <w:rPr>
          <w:lang w:val="en-US" w:eastAsia="da-DK"/>
        </w:rPr>
      </w:pPr>
      <w:r>
        <w:rPr>
          <w:rFonts w:ascii="Calibri" w:eastAsia="Calibri" w:hAnsi="Calibri" w:cs="Times New Roman"/>
          <w:lang w:val="en-GB" w:eastAsia="da-DK"/>
        </w:rPr>
        <w:t>From here, there is access to the menu items</w:t>
      </w:r>
      <w:r>
        <w:rPr>
          <w:rFonts w:ascii="Calibri" w:eastAsia="Calibri" w:hAnsi="Calibri" w:cs="Times New Roman"/>
          <w:b/>
          <w:bCs/>
          <w:lang w:val="en-GB" w:eastAsia="da-DK"/>
        </w:rPr>
        <w:t xml:space="preserve"> Zero declaration</w:t>
      </w:r>
      <w:r>
        <w:rPr>
          <w:rFonts w:ascii="Calibri" w:eastAsia="Calibri" w:hAnsi="Calibri" w:cs="Times New Roman"/>
          <w:lang w:val="en-GB" w:eastAsia="da-DK"/>
        </w:rPr>
        <w:t xml:space="preserve">, </w:t>
      </w:r>
      <w:r>
        <w:rPr>
          <w:rFonts w:ascii="Calibri" w:eastAsia="Calibri" w:hAnsi="Calibri" w:cs="Times New Roman"/>
          <w:b/>
          <w:bCs/>
          <w:lang w:val="en-GB" w:eastAsia="da-DK"/>
        </w:rPr>
        <w:t>Reporting via file</w:t>
      </w:r>
      <w:r>
        <w:rPr>
          <w:rFonts w:ascii="Calibri" w:eastAsia="Calibri" w:hAnsi="Calibri" w:cs="Times New Roman"/>
          <w:lang w:val="en-GB" w:eastAsia="da-DK"/>
        </w:rPr>
        <w:t xml:space="preserve"> and an overview page where you can get a comprehensive overview of previous reports and their status.</w:t>
      </w:r>
    </w:p>
    <w:p w14:paraId="7005D732" w14:textId="3B7A7B4D" w:rsidR="003E670A" w:rsidRPr="000B5CEC" w:rsidRDefault="00B12E20" w:rsidP="004D722F">
      <w:pPr>
        <w:rPr>
          <w:lang w:val="en-US" w:eastAsia="da-DK"/>
        </w:rPr>
      </w:pPr>
      <w:r>
        <w:rPr>
          <w:rFonts w:ascii="Calibri" w:eastAsia="Calibri" w:hAnsi="Calibri" w:cs="Times New Roman"/>
          <w:lang w:val="en-GB" w:eastAsia="da-DK"/>
        </w:rPr>
        <w:t>From the overview page, receipts and validation reports for the individual report can also be downloaded.</w:t>
      </w:r>
    </w:p>
    <w:sectPr w:rsidR="003E670A" w:rsidRPr="000B5CE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E3E47" w14:textId="77777777" w:rsidR="00334E40" w:rsidRDefault="00334E40">
      <w:pPr>
        <w:spacing w:after="0" w:line="240" w:lineRule="auto"/>
      </w:pPr>
      <w:r>
        <w:separator/>
      </w:r>
    </w:p>
  </w:endnote>
  <w:endnote w:type="continuationSeparator" w:id="0">
    <w:p w14:paraId="5577AADE" w14:textId="77777777" w:rsidR="00334E40" w:rsidRDefault="00334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C962E" w14:textId="77777777" w:rsidR="005D435D" w:rsidRDefault="005D435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99848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57D81C" w14:textId="35258BF7" w:rsidR="0026058A" w:rsidRDefault="00B12E20">
            <w:pPr>
              <w:pStyle w:val="Sidefod"/>
              <w:jc w:val="center"/>
            </w:pPr>
            <w:r>
              <w:rPr>
                <w:rFonts w:ascii="Calibri" w:eastAsia="Calibri" w:hAnsi="Calibri" w:cs="Times New Roman"/>
                <w:lang w:val="en-GB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Calibri" w:eastAsia="Calibri" w:hAnsi="Calibri" w:cs="Times New Roman"/>
                <w:lang w:val="en-GB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AE5487" w14:textId="77777777" w:rsidR="0026058A" w:rsidRDefault="0026058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3A9D1" w14:textId="77777777" w:rsidR="005D435D" w:rsidRDefault="005D435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3DA73" w14:textId="77777777" w:rsidR="00334E40" w:rsidRDefault="00334E40" w:rsidP="006868F7">
      <w:pPr>
        <w:spacing w:after="0" w:line="240" w:lineRule="auto"/>
      </w:pPr>
      <w:r>
        <w:separator/>
      </w:r>
    </w:p>
  </w:footnote>
  <w:footnote w:type="continuationSeparator" w:id="0">
    <w:p w14:paraId="6CB4E991" w14:textId="77777777" w:rsidR="00334E40" w:rsidRDefault="00334E40" w:rsidP="006868F7">
      <w:pPr>
        <w:spacing w:after="0" w:line="240" w:lineRule="auto"/>
      </w:pPr>
      <w:r>
        <w:continuationSeparator/>
      </w:r>
    </w:p>
  </w:footnote>
  <w:footnote w:id="1">
    <w:p w14:paraId="4262607D" w14:textId="77777777" w:rsidR="00F84629" w:rsidRPr="000B5CEC" w:rsidRDefault="00B12E20" w:rsidP="00F84629">
      <w:pPr>
        <w:pStyle w:val="Fodnotetekst"/>
        <w:rPr>
          <w:lang w:val="en-US"/>
        </w:rPr>
      </w:pPr>
      <w:r>
        <w:rPr>
          <w:rStyle w:val="Fodnotehenvisning"/>
        </w:rPr>
        <w:footnoteRef/>
      </w:r>
      <w:r>
        <w:rPr>
          <w:rFonts w:ascii="Calibri" w:eastAsia="Calibri" w:hAnsi="Calibri" w:cs="Times New Roman"/>
          <w:lang w:val="en-GB"/>
        </w:rPr>
        <w:t xml:space="preserve"> Payment Service Provider</w:t>
      </w:r>
    </w:p>
  </w:footnote>
  <w:footnote w:id="2">
    <w:p w14:paraId="531C6D9B" w14:textId="77777777" w:rsidR="00F84629" w:rsidRPr="000B5CEC" w:rsidRDefault="00B12E20" w:rsidP="00F84629">
      <w:pPr>
        <w:pStyle w:val="Fodnotetekst"/>
        <w:rPr>
          <w:lang w:val="en-US"/>
        </w:rPr>
      </w:pPr>
      <w:r>
        <w:rPr>
          <w:rStyle w:val="Fodnotehenvisning"/>
        </w:rPr>
        <w:footnoteRef/>
      </w:r>
      <w:r>
        <w:rPr>
          <w:rFonts w:ascii="Calibri" w:eastAsia="Calibri" w:hAnsi="Calibri" w:cs="Times New Roman"/>
          <w:lang w:val="en-GB"/>
        </w:rPr>
        <w:t xml:space="preserve"> CESOP (Central Electronic System of Payment Information) is a system maintained by the European Commission for collection of cross-border payment transaction data collected by the Member States from PSPs.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51791" w14:textId="77777777" w:rsidR="005D435D" w:rsidRDefault="005D435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15CF3" w14:textId="7C76D3F7" w:rsidR="006868F7" w:rsidRDefault="00B12E20">
    <w:pPr>
      <w:pStyle w:val="Sidehoved"/>
    </w:pPr>
    <w:r>
      <w:rPr>
        <w:rFonts w:ascii="Calibri" w:eastAsia="Calibri" w:hAnsi="Calibri" w:cs="Times New Roman"/>
        <w:lang w:val="en-GB"/>
      </w:rPr>
      <w:t>CESOP UI Reporting Guide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EE8A" w14:textId="77777777" w:rsidR="005D435D" w:rsidRDefault="005D435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40EDF"/>
    <w:multiLevelType w:val="hybridMultilevel"/>
    <w:tmpl w:val="EE561C38"/>
    <w:lvl w:ilvl="0" w:tplc="711252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907F3A" w:tentative="1">
      <w:start w:val="1"/>
      <w:numFmt w:val="lowerLetter"/>
      <w:lvlText w:val="%2."/>
      <w:lvlJc w:val="left"/>
      <w:pPr>
        <w:ind w:left="1440" w:hanging="360"/>
      </w:pPr>
    </w:lvl>
    <w:lvl w:ilvl="2" w:tplc="49AA6D42" w:tentative="1">
      <w:start w:val="1"/>
      <w:numFmt w:val="lowerRoman"/>
      <w:lvlText w:val="%3."/>
      <w:lvlJc w:val="right"/>
      <w:pPr>
        <w:ind w:left="2160" w:hanging="180"/>
      </w:pPr>
    </w:lvl>
    <w:lvl w:ilvl="3" w:tplc="E7403366" w:tentative="1">
      <w:start w:val="1"/>
      <w:numFmt w:val="decimal"/>
      <w:lvlText w:val="%4."/>
      <w:lvlJc w:val="left"/>
      <w:pPr>
        <w:ind w:left="2880" w:hanging="360"/>
      </w:pPr>
    </w:lvl>
    <w:lvl w:ilvl="4" w:tplc="4B0EB570" w:tentative="1">
      <w:start w:val="1"/>
      <w:numFmt w:val="lowerLetter"/>
      <w:lvlText w:val="%5."/>
      <w:lvlJc w:val="left"/>
      <w:pPr>
        <w:ind w:left="3600" w:hanging="360"/>
      </w:pPr>
    </w:lvl>
    <w:lvl w:ilvl="5" w:tplc="1A187EA4" w:tentative="1">
      <w:start w:val="1"/>
      <w:numFmt w:val="lowerRoman"/>
      <w:lvlText w:val="%6."/>
      <w:lvlJc w:val="right"/>
      <w:pPr>
        <w:ind w:left="4320" w:hanging="180"/>
      </w:pPr>
    </w:lvl>
    <w:lvl w:ilvl="6" w:tplc="EB2450D2" w:tentative="1">
      <w:start w:val="1"/>
      <w:numFmt w:val="decimal"/>
      <w:lvlText w:val="%7."/>
      <w:lvlJc w:val="left"/>
      <w:pPr>
        <w:ind w:left="5040" w:hanging="360"/>
      </w:pPr>
    </w:lvl>
    <w:lvl w:ilvl="7" w:tplc="063EEE9A" w:tentative="1">
      <w:start w:val="1"/>
      <w:numFmt w:val="lowerLetter"/>
      <w:lvlText w:val="%8."/>
      <w:lvlJc w:val="left"/>
      <w:pPr>
        <w:ind w:left="5760" w:hanging="360"/>
      </w:pPr>
    </w:lvl>
    <w:lvl w:ilvl="8" w:tplc="1BB2FE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66D2C"/>
    <w:multiLevelType w:val="hybridMultilevel"/>
    <w:tmpl w:val="220EF1B2"/>
    <w:lvl w:ilvl="0" w:tplc="F5F44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6D37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05F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144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8E5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8AA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E2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F6D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0C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66C7B51"/>
    <w:multiLevelType w:val="hybridMultilevel"/>
    <w:tmpl w:val="2FDEC820"/>
    <w:lvl w:ilvl="0" w:tplc="4B8A5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9C9924" w:tentative="1">
      <w:start w:val="1"/>
      <w:numFmt w:val="lowerLetter"/>
      <w:lvlText w:val="%2."/>
      <w:lvlJc w:val="left"/>
      <w:pPr>
        <w:ind w:left="1440" w:hanging="360"/>
      </w:pPr>
    </w:lvl>
    <w:lvl w:ilvl="2" w:tplc="850C9F78" w:tentative="1">
      <w:start w:val="1"/>
      <w:numFmt w:val="lowerRoman"/>
      <w:lvlText w:val="%3."/>
      <w:lvlJc w:val="right"/>
      <w:pPr>
        <w:ind w:left="2160" w:hanging="180"/>
      </w:pPr>
    </w:lvl>
    <w:lvl w:ilvl="3" w:tplc="61509D1E" w:tentative="1">
      <w:start w:val="1"/>
      <w:numFmt w:val="decimal"/>
      <w:lvlText w:val="%4."/>
      <w:lvlJc w:val="left"/>
      <w:pPr>
        <w:ind w:left="2880" w:hanging="360"/>
      </w:pPr>
    </w:lvl>
    <w:lvl w:ilvl="4" w:tplc="FE56B898" w:tentative="1">
      <w:start w:val="1"/>
      <w:numFmt w:val="lowerLetter"/>
      <w:lvlText w:val="%5."/>
      <w:lvlJc w:val="left"/>
      <w:pPr>
        <w:ind w:left="3600" w:hanging="360"/>
      </w:pPr>
    </w:lvl>
    <w:lvl w:ilvl="5" w:tplc="4AFAA78E" w:tentative="1">
      <w:start w:val="1"/>
      <w:numFmt w:val="lowerRoman"/>
      <w:lvlText w:val="%6."/>
      <w:lvlJc w:val="right"/>
      <w:pPr>
        <w:ind w:left="4320" w:hanging="180"/>
      </w:pPr>
    </w:lvl>
    <w:lvl w:ilvl="6" w:tplc="A110896E" w:tentative="1">
      <w:start w:val="1"/>
      <w:numFmt w:val="decimal"/>
      <w:lvlText w:val="%7."/>
      <w:lvlJc w:val="left"/>
      <w:pPr>
        <w:ind w:left="5040" w:hanging="360"/>
      </w:pPr>
    </w:lvl>
    <w:lvl w:ilvl="7" w:tplc="AC72146A" w:tentative="1">
      <w:start w:val="1"/>
      <w:numFmt w:val="lowerLetter"/>
      <w:lvlText w:val="%8."/>
      <w:lvlJc w:val="left"/>
      <w:pPr>
        <w:ind w:left="5760" w:hanging="360"/>
      </w:pPr>
    </w:lvl>
    <w:lvl w:ilvl="8" w:tplc="8F02A65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595648">
    <w:abstractNumId w:val="1"/>
  </w:num>
  <w:num w:numId="2" w16cid:durableId="857426653">
    <w:abstractNumId w:val="0"/>
  </w:num>
  <w:num w:numId="3" w16cid:durableId="702290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F7"/>
    <w:rsid w:val="00000937"/>
    <w:rsid w:val="000218F7"/>
    <w:rsid w:val="00052DB6"/>
    <w:rsid w:val="00076382"/>
    <w:rsid w:val="000B5CEC"/>
    <w:rsid w:val="000D1EB2"/>
    <w:rsid w:val="00110485"/>
    <w:rsid w:val="00110AE8"/>
    <w:rsid w:val="00127793"/>
    <w:rsid w:val="001406C5"/>
    <w:rsid w:val="0014482C"/>
    <w:rsid w:val="001C3751"/>
    <w:rsid w:val="001F12F4"/>
    <w:rsid w:val="0020174F"/>
    <w:rsid w:val="002210E2"/>
    <w:rsid w:val="002317DC"/>
    <w:rsid w:val="0025037A"/>
    <w:rsid w:val="0025521F"/>
    <w:rsid w:val="0026058A"/>
    <w:rsid w:val="00266ECC"/>
    <w:rsid w:val="00277D3F"/>
    <w:rsid w:val="00282B48"/>
    <w:rsid w:val="00296ACD"/>
    <w:rsid w:val="002A5E0E"/>
    <w:rsid w:val="002A7E98"/>
    <w:rsid w:val="002C6E22"/>
    <w:rsid w:val="002C75A7"/>
    <w:rsid w:val="0030301F"/>
    <w:rsid w:val="003033AE"/>
    <w:rsid w:val="00334E40"/>
    <w:rsid w:val="00350C1F"/>
    <w:rsid w:val="003A1190"/>
    <w:rsid w:val="003B5D03"/>
    <w:rsid w:val="003C3558"/>
    <w:rsid w:val="003C4BDB"/>
    <w:rsid w:val="003E547C"/>
    <w:rsid w:val="003E670A"/>
    <w:rsid w:val="0041723A"/>
    <w:rsid w:val="0042324E"/>
    <w:rsid w:val="00470674"/>
    <w:rsid w:val="00490724"/>
    <w:rsid w:val="004D722F"/>
    <w:rsid w:val="004E1752"/>
    <w:rsid w:val="00514B9A"/>
    <w:rsid w:val="00563AA3"/>
    <w:rsid w:val="005A3DF1"/>
    <w:rsid w:val="005C5CAE"/>
    <w:rsid w:val="005D305C"/>
    <w:rsid w:val="005D435D"/>
    <w:rsid w:val="0060173B"/>
    <w:rsid w:val="00617FC3"/>
    <w:rsid w:val="00634CC5"/>
    <w:rsid w:val="006868F7"/>
    <w:rsid w:val="00691328"/>
    <w:rsid w:val="00695897"/>
    <w:rsid w:val="006F540E"/>
    <w:rsid w:val="007004ED"/>
    <w:rsid w:val="00754623"/>
    <w:rsid w:val="007B541D"/>
    <w:rsid w:val="007B5420"/>
    <w:rsid w:val="007F12F1"/>
    <w:rsid w:val="0082550A"/>
    <w:rsid w:val="0085548A"/>
    <w:rsid w:val="008C135A"/>
    <w:rsid w:val="008C5F85"/>
    <w:rsid w:val="008C74AF"/>
    <w:rsid w:val="008D00F1"/>
    <w:rsid w:val="008D315A"/>
    <w:rsid w:val="00902499"/>
    <w:rsid w:val="00943DB0"/>
    <w:rsid w:val="009461A0"/>
    <w:rsid w:val="009A386C"/>
    <w:rsid w:val="009D25AB"/>
    <w:rsid w:val="009E4C9D"/>
    <w:rsid w:val="00A15EC3"/>
    <w:rsid w:val="00A24C61"/>
    <w:rsid w:val="00A46D4B"/>
    <w:rsid w:val="00A618F0"/>
    <w:rsid w:val="00A73624"/>
    <w:rsid w:val="00A74ABE"/>
    <w:rsid w:val="00A7678C"/>
    <w:rsid w:val="00A96837"/>
    <w:rsid w:val="00AD31E9"/>
    <w:rsid w:val="00AE5206"/>
    <w:rsid w:val="00AF5669"/>
    <w:rsid w:val="00B014DA"/>
    <w:rsid w:val="00B01C95"/>
    <w:rsid w:val="00B04AE3"/>
    <w:rsid w:val="00B12E20"/>
    <w:rsid w:val="00B7211D"/>
    <w:rsid w:val="00BB10F9"/>
    <w:rsid w:val="00BE71B5"/>
    <w:rsid w:val="00BF7F86"/>
    <w:rsid w:val="00C01D65"/>
    <w:rsid w:val="00C1088E"/>
    <w:rsid w:val="00C42DD0"/>
    <w:rsid w:val="00C5791B"/>
    <w:rsid w:val="00CE2CC8"/>
    <w:rsid w:val="00D113B1"/>
    <w:rsid w:val="00D413CE"/>
    <w:rsid w:val="00D56002"/>
    <w:rsid w:val="00D954F2"/>
    <w:rsid w:val="00D95B98"/>
    <w:rsid w:val="00DA61A2"/>
    <w:rsid w:val="00DB069C"/>
    <w:rsid w:val="00DB725D"/>
    <w:rsid w:val="00DC4A74"/>
    <w:rsid w:val="00E05984"/>
    <w:rsid w:val="00E07A00"/>
    <w:rsid w:val="00E35F04"/>
    <w:rsid w:val="00E4276D"/>
    <w:rsid w:val="00E76472"/>
    <w:rsid w:val="00E85910"/>
    <w:rsid w:val="00EA111D"/>
    <w:rsid w:val="00EF5E0C"/>
    <w:rsid w:val="00F0198A"/>
    <w:rsid w:val="00F100A2"/>
    <w:rsid w:val="00F84629"/>
    <w:rsid w:val="00FD575A"/>
    <w:rsid w:val="00FF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C858"/>
  <w15:chartTrackingRefBased/>
  <w15:docId w15:val="{2991DDD7-992F-4A39-AD97-52852E2F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8F7"/>
    <w:pPr>
      <w:spacing w:line="256" w:lineRule="auto"/>
    </w:pPr>
    <w:rPr>
      <w:rFonts w:eastAsiaTheme="minorHAnsi"/>
    </w:rPr>
  </w:style>
  <w:style w:type="paragraph" w:styleId="Overskrift1">
    <w:name w:val="heading 1"/>
    <w:basedOn w:val="Normal"/>
    <w:next w:val="Normal"/>
    <w:link w:val="Overskrift1Tegn"/>
    <w:qFormat/>
    <w:rsid w:val="00E05984"/>
    <w:pPr>
      <w:keepLines/>
      <w:spacing w:line="360" w:lineRule="exact"/>
      <w:outlineLvl w:val="0"/>
    </w:pPr>
    <w:rPr>
      <w:rFonts w:ascii="Arial" w:hAnsi="Arial" w:cs="Arial"/>
      <w:b/>
      <w:bCs/>
      <w:sz w:val="30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E05984"/>
    <w:pPr>
      <w:keepLines/>
      <w:suppressAutoHyphens/>
      <w:spacing w:line="288" w:lineRule="exact"/>
      <w:outlineLvl w:val="1"/>
    </w:pPr>
    <w:rPr>
      <w:rFonts w:ascii="Arial" w:hAnsi="Arial"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E05984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E05984"/>
    <w:pPr>
      <w:keepLines/>
      <w:suppressAutoHyphens/>
      <w:outlineLvl w:val="3"/>
    </w:pPr>
    <w:rPr>
      <w:bCs/>
      <w:i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E05984"/>
    <w:rPr>
      <w:rFonts w:ascii="Arial" w:hAnsi="Arial" w:cs="Arial"/>
      <w:b/>
      <w:bCs/>
      <w:sz w:val="30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E05984"/>
    <w:rPr>
      <w:rFonts w:ascii="Arial" w:hAnsi="Arial" w:cs="Arial"/>
      <w:b/>
      <w:bCs/>
      <w:iCs/>
      <w:sz w:val="24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E05984"/>
    <w:rPr>
      <w:rFonts w:ascii="Arial" w:hAnsi="Arial" w:cs="Arial"/>
      <w:b/>
      <w:bCs/>
      <w:sz w:val="20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E05984"/>
    <w:rPr>
      <w:rFonts w:ascii="Times New Roman" w:hAnsi="Times New Roman" w:cs="Times New Roman"/>
      <w:bCs/>
      <w:i/>
      <w:sz w:val="24"/>
      <w:szCs w:val="2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6868F7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6868F7"/>
    <w:rPr>
      <w:rFonts w:ascii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6868F7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6868F7"/>
    <w:rPr>
      <w:rFonts w:ascii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6868F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Overskrift1"/>
    <w:next w:val="Normal"/>
    <w:uiPriority w:val="39"/>
    <w:unhideWhenUsed/>
    <w:qFormat/>
    <w:rsid w:val="0026058A"/>
    <w:pPr>
      <w:keepNext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26058A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26058A"/>
    <w:rPr>
      <w:color w:val="0563C1" w:themeColor="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6058A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6058A"/>
    <w:rPr>
      <w:rFonts w:eastAsiaTheme="minorHAnsi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6058A"/>
    <w:rPr>
      <w:vertAlign w:val="superscript"/>
    </w:rPr>
  </w:style>
  <w:style w:type="character" w:styleId="Ulstomtale">
    <w:name w:val="Unresolved Mention"/>
    <w:basedOn w:val="Standardskrifttypeiafsnit"/>
    <w:uiPriority w:val="99"/>
    <w:semiHidden/>
    <w:unhideWhenUsed/>
    <w:rsid w:val="007B5420"/>
    <w:rPr>
      <w:color w:val="605E5C"/>
      <w:shd w:val="clear" w:color="auto" w:fill="E1DFDD"/>
    </w:rPr>
  </w:style>
  <w:style w:type="character" w:styleId="Fremhv">
    <w:name w:val="Emphasis"/>
    <w:basedOn w:val="Standardskrifttypeiafsnit"/>
    <w:uiPriority w:val="20"/>
    <w:qFormat/>
    <w:rsid w:val="000D1EB2"/>
    <w:rPr>
      <w:i/>
      <w:iCs/>
    </w:rPr>
  </w:style>
  <w:style w:type="character" w:styleId="Strk">
    <w:name w:val="Strong"/>
    <w:basedOn w:val="Standardskrifttypeiafsnit"/>
    <w:uiPriority w:val="22"/>
    <w:qFormat/>
    <w:rsid w:val="000D1EB2"/>
    <w:rPr>
      <w:b/>
      <w:bCs/>
    </w:rPr>
  </w:style>
  <w:style w:type="character" w:styleId="BesgtLink">
    <w:name w:val="FollowedHyperlink"/>
    <w:basedOn w:val="Standardskrifttypeiafsnit"/>
    <w:uiPriority w:val="99"/>
    <w:semiHidden/>
    <w:unhideWhenUsed/>
    <w:rsid w:val="00DB725D"/>
    <w:rPr>
      <w:color w:val="954F72" w:themeColor="followed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754623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754623"/>
    <w:pPr>
      <w:spacing w:after="100"/>
      <w:ind w:left="440"/>
    </w:pPr>
  </w:style>
  <w:style w:type="paragraph" w:styleId="Korrektur">
    <w:name w:val="Revision"/>
    <w:hidden/>
    <w:uiPriority w:val="99"/>
    <w:semiHidden/>
    <w:rsid w:val="00F84629"/>
    <w:pPr>
      <w:spacing w:after="0" w:line="240" w:lineRule="auto"/>
    </w:pPr>
    <w:rPr>
      <w:rFonts w:eastAsiaTheme="minorHAnsi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846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8462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84629"/>
    <w:rPr>
      <w:rFonts w:eastAsiaTheme="minorHAns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C6E2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C6E22"/>
    <w:rPr>
      <w:rFonts w:eastAsiaTheme="minorHAnsi"/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634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cs.skat.dk/dcs-atn-gateway/login/tsklogin?userType=virksomhed&amp;targetUrl=aHR0cHM6Ly9udHNlLnNrYXQuZGsvbnRzZS1mcm9udC9mb3JzaWRl" TargetMode="External"/><Relationship Id="rId13" Type="http://schemas.openxmlformats.org/officeDocument/2006/relationships/hyperlink" Target="https://skat.dk/tastselverhverv" TargetMode="External"/><Relationship Id="rId18" Type="http://schemas.openxmlformats.org/officeDocument/2006/relationships/hyperlink" Target="https://ntse.cesop.tfe.skat.dk/overblik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skat.dk/tastselverhverv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kat.dk/" TargetMode="External"/><Relationship Id="rId17" Type="http://schemas.openxmlformats.org/officeDocument/2006/relationships/hyperlink" Target="https://ntse.cesop.tfe.skat.dk/indsend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taxation-customs.ec.europa.eu/taxation-1/central-electronic-system-payment-information-cesop_en" TargetMode="External"/><Relationship Id="rId20" Type="http://schemas.openxmlformats.org/officeDocument/2006/relationships/hyperlink" Target="https://taxation-customs.ec.europa.eu/taxation-1/central-electronic-system-payment-information-cesop_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kat.dk/tastselverhverv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kat.dk/en-us/businesses/e-tax-for-businesses/authorise-others-to-access-your-e-tax-for-businesses/authorise-your-accountantconsultant-to-report-information-on-behalf-of-your-business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virk.dk/myndigheder/stat/ERST/selvbetjening/31053_Registrering_forindberetningspligt_for_visse_graenseoverskridende_betalingsoplysninger/" TargetMode="External"/><Relationship Id="rId19" Type="http://schemas.openxmlformats.org/officeDocument/2006/relationships/hyperlink" Target="https://ntse.cesop.tfe.skat.dk/nulindber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kat.dk/cesop-en" TargetMode="External"/><Relationship Id="rId14" Type="http://schemas.openxmlformats.org/officeDocument/2006/relationships/hyperlink" Target="skat.dk/en-us/businesses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6A006-27BF-4E01-B280-4649E517611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f79d73b-6a7a-4260-851c-2db4f77b37d6}" enabled="1" method="Standard" siteId="{2e93f0ed-ff36-46d4-9ce6-e0d902050cf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6992</Characters>
  <Application>Microsoft Office Word</Application>
  <DocSecurity>4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CESOP NTSE</vt:lpstr>
    </vt:vector>
  </TitlesOfParts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CESOP NTSE</dc:title>
  <dc:subject>CESOP</dc:subject>
  <dc:creator>Morten Winther</dc:creator>
  <cp:keywords>CESOP;class='Internal'</cp:keywords>
  <cp:lastModifiedBy>Helle Rasmussen</cp:lastModifiedBy>
  <cp:revision>2</cp:revision>
  <dcterms:created xsi:type="dcterms:W3CDTF">2024-02-15T10:43:00Z</dcterms:created>
  <dcterms:modified xsi:type="dcterms:W3CDTF">2024-02-15T10:43:00Z</dcterms:modified>
</cp:coreProperties>
</file>